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04D" w:rsidRDefault="0021204D" w:rsidP="0084659D">
      <w:pPr>
        <w:rPr>
          <w:b/>
          <w:u w:val="single"/>
        </w:rPr>
      </w:pPr>
    </w:p>
    <w:p w:rsidR="0021204D" w:rsidRDefault="0021204D" w:rsidP="0084659D">
      <w:pPr>
        <w:rPr>
          <w:b/>
          <w:u w:val="single"/>
        </w:rPr>
      </w:pPr>
    </w:p>
    <w:p w:rsidR="0021204D" w:rsidRDefault="0021204D" w:rsidP="0084659D">
      <w:pPr>
        <w:rPr>
          <w:b/>
          <w:u w:val="single"/>
        </w:rPr>
      </w:pPr>
    </w:p>
    <w:p w:rsidR="0021204D" w:rsidRDefault="0021204D" w:rsidP="0084659D">
      <w:pPr>
        <w:rPr>
          <w:b/>
          <w:u w:val="single"/>
        </w:rPr>
      </w:pPr>
    </w:p>
    <w:p w:rsidR="0021204D" w:rsidRDefault="0021204D" w:rsidP="0084659D">
      <w:pPr>
        <w:rPr>
          <w:b/>
          <w:u w:val="single"/>
        </w:rPr>
      </w:pPr>
    </w:p>
    <w:p w:rsidR="0021204D" w:rsidRDefault="0021204D" w:rsidP="0084659D">
      <w:pPr>
        <w:rPr>
          <w:b/>
          <w:u w:val="single"/>
        </w:rPr>
      </w:pPr>
    </w:p>
    <w:p w:rsidR="0021204D" w:rsidRDefault="0021204D" w:rsidP="0021204D">
      <w:pPr>
        <w:jc w:val="center"/>
        <w:rPr>
          <w:rFonts w:ascii="Times New Roman" w:hAnsi="Times New Roman" w:cs="Times New Roman"/>
          <w:sz w:val="24"/>
          <w:szCs w:val="24"/>
        </w:rPr>
      </w:pPr>
      <w:r w:rsidRPr="0021204D">
        <w:rPr>
          <w:rFonts w:ascii="Times New Roman" w:hAnsi="Times New Roman" w:cs="Times New Roman"/>
          <w:sz w:val="24"/>
          <w:szCs w:val="24"/>
        </w:rPr>
        <w:t>Cultural and Social Assessment Literature</w:t>
      </w:r>
    </w:p>
    <w:p w:rsidR="0021204D" w:rsidRDefault="0021204D" w:rsidP="0021204D">
      <w:pPr>
        <w:jc w:val="center"/>
        <w:rPr>
          <w:rFonts w:ascii="Times New Roman" w:hAnsi="Times New Roman" w:cs="Times New Roman"/>
          <w:sz w:val="24"/>
          <w:szCs w:val="24"/>
        </w:rPr>
      </w:pPr>
      <w:r>
        <w:rPr>
          <w:rFonts w:ascii="Times New Roman" w:hAnsi="Times New Roman" w:cs="Times New Roman"/>
          <w:sz w:val="24"/>
          <w:szCs w:val="24"/>
        </w:rPr>
        <w:t>Kristie Bruesch</w:t>
      </w:r>
    </w:p>
    <w:p w:rsidR="0021204D" w:rsidRPr="0021204D" w:rsidRDefault="0021204D" w:rsidP="0021204D">
      <w:pPr>
        <w:jc w:val="center"/>
      </w:pPr>
      <w:r>
        <w:rPr>
          <w:rFonts w:ascii="Times New Roman" w:hAnsi="Times New Roman" w:cs="Times New Roman"/>
          <w:sz w:val="24"/>
          <w:szCs w:val="24"/>
        </w:rPr>
        <w:t>Ferris State University</w:t>
      </w:r>
    </w:p>
    <w:p w:rsidR="0021204D" w:rsidRDefault="0021204D" w:rsidP="0084659D">
      <w:pPr>
        <w:rPr>
          <w:b/>
          <w:u w:val="single"/>
        </w:rPr>
      </w:pPr>
    </w:p>
    <w:p w:rsidR="0021204D" w:rsidRDefault="0021204D" w:rsidP="0084659D">
      <w:pPr>
        <w:rPr>
          <w:b/>
          <w:u w:val="single"/>
        </w:rPr>
      </w:pPr>
    </w:p>
    <w:p w:rsidR="0021204D" w:rsidRDefault="0021204D" w:rsidP="0084659D">
      <w:pPr>
        <w:rPr>
          <w:b/>
          <w:u w:val="single"/>
        </w:rPr>
      </w:pPr>
    </w:p>
    <w:p w:rsidR="0021204D" w:rsidRDefault="0021204D" w:rsidP="0084659D">
      <w:pPr>
        <w:rPr>
          <w:b/>
          <w:u w:val="single"/>
        </w:rPr>
      </w:pPr>
    </w:p>
    <w:p w:rsidR="0021204D" w:rsidRDefault="0021204D" w:rsidP="0084659D">
      <w:pPr>
        <w:rPr>
          <w:b/>
          <w:u w:val="single"/>
        </w:rPr>
      </w:pPr>
    </w:p>
    <w:p w:rsidR="0021204D" w:rsidRDefault="0021204D" w:rsidP="0021204D">
      <w:pPr>
        <w:jc w:val="center"/>
        <w:rPr>
          <w:b/>
          <w:u w:val="single"/>
        </w:rPr>
      </w:pPr>
    </w:p>
    <w:p w:rsidR="0021204D" w:rsidRDefault="0021204D" w:rsidP="0084659D">
      <w:pPr>
        <w:rPr>
          <w:b/>
          <w:u w:val="single"/>
        </w:rPr>
      </w:pPr>
    </w:p>
    <w:p w:rsidR="0021204D" w:rsidRDefault="0021204D" w:rsidP="0084659D">
      <w:pPr>
        <w:rPr>
          <w:b/>
          <w:u w:val="single"/>
        </w:rPr>
      </w:pPr>
    </w:p>
    <w:p w:rsidR="0021204D" w:rsidRDefault="0021204D" w:rsidP="0084659D">
      <w:pPr>
        <w:rPr>
          <w:b/>
          <w:u w:val="single"/>
        </w:rPr>
      </w:pPr>
    </w:p>
    <w:p w:rsidR="0021204D" w:rsidRDefault="0021204D" w:rsidP="0084659D">
      <w:pPr>
        <w:rPr>
          <w:b/>
          <w:u w:val="single"/>
        </w:rPr>
      </w:pPr>
    </w:p>
    <w:p w:rsidR="0021204D" w:rsidRDefault="0021204D" w:rsidP="0084659D">
      <w:pPr>
        <w:rPr>
          <w:b/>
          <w:u w:val="single"/>
        </w:rPr>
      </w:pPr>
    </w:p>
    <w:p w:rsidR="0021204D" w:rsidRDefault="0021204D" w:rsidP="0084659D">
      <w:pPr>
        <w:rPr>
          <w:b/>
          <w:u w:val="single"/>
        </w:rPr>
      </w:pPr>
    </w:p>
    <w:p w:rsidR="0084659D" w:rsidRDefault="0084659D" w:rsidP="0084659D">
      <w:pPr>
        <w:rPr>
          <w:b/>
          <w:u w:val="single"/>
        </w:rPr>
      </w:pPr>
      <w:r w:rsidRPr="00136FDF">
        <w:rPr>
          <w:b/>
          <w:u w:val="single"/>
        </w:rPr>
        <w:lastRenderedPageBreak/>
        <w:t>PICO</w:t>
      </w:r>
    </w:p>
    <w:p w:rsidR="0084659D" w:rsidRPr="003E1FD4" w:rsidRDefault="0084659D" w:rsidP="0084659D">
      <w:r>
        <w:t>“Will disaster education and exercises for all health care providers increase perception of knowledge, comfort and confidence regarding disaster preparedness as compared to no disaster education and exercises?”</w:t>
      </w:r>
    </w:p>
    <w:p w:rsidR="0084659D" w:rsidRDefault="0084659D" w:rsidP="0084659D">
      <w:r w:rsidRPr="00136FDF">
        <w:rPr>
          <w:b/>
        </w:rPr>
        <w:t>P</w:t>
      </w:r>
      <w:r>
        <w:t xml:space="preserve">opulation- health care clinical providers (EMS, Nurses, Physicians, Lab, </w:t>
      </w:r>
      <w:proofErr w:type="spellStart"/>
      <w:r>
        <w:t>etc</w:t>
      </w:r>
      <w:proofErr w:type="spellEnd"/>
      <w:r>
        <w:t>)</w:t>
      </w:r>
    </w:p>
    <w:p w:rsidR="0084659D" w:rsidRDefault="0084659D" w:rsidP="0084659D">
      <w:r w:rsidRPr="00136FDF">
        <w:rPr>
          <w:b/>
        </w:rPr>
        <w:t>I</w:t>
      </w:r>
      <w:r>
        <w:t xml:space="preserve">ntervention- disaster education and exercises for all health care providers </w:t>
      </w:r>
    </w:p>
    <w:p w:rsidR="0084659D" w:rsidRDefault="0084659D" w:rsidP="0084659D">
      <w:r w:rsidRPr="00136FDF">
        <w:rPr>
          <w:b/>
        </w:rPr>
        <w:t>C</w:t>
      </w:r>
      <w:r>
        <w:t>omparison- no disaster education and exercises</w:t>
      </w:r>
    </w:p>
    <w:p w:rsidR="0021204D" w:rsidRDefault="0084659D" w:rsidP="0084659D">
      <w:pPr>
        <w:rPr>
          <w:sz w:val="23"/>
          <w:szCs w:val="23"/>
        </w:rPr>
      </w:pPr>
      <w:r w:rsidRPr="00136FDF">
        <w:rPr>
          <w:b/>
        </w:rPr>
        <w:t>O</w:t>
      </w:r>
      <w:r>
        <w:t xml:space="preserve">utcome- </w:t>
      </w:r>
      <w:r>
        <w:rPr>
          <w:sz w:val="23"/>
          <w:szCs w:val="23"/>
        </w:rPr>
        <w:t>increase perception of knowledge, comfort and confidence regarding disaster preparedness</w:t>
      </w:r>
    </w:p>
    <w:p w:rsidR="0084659D" w:rsidRPr="0021204D" w:rsidRDefault="0021204D" w:rsidP="0084659D">
      <w:pPr>
        <w:rPr>
          <w:sz w:val="23"/>
          <w:szCs w:val="23"/>
        </w:rPr>
      </w:pPr>
      <w:r>
        <w:rPr>
          <w:sz w:val="23"/>
          <w:szCs w:val="23"/>
        </w:rPr>
        <w:br w:type="page"/>
      </w:r>
    </w:p>
    <w:p w:rsidR="0084659D" w:rsidRDefault="0084659D"/>
    <w:tbl>
      <w:tblPr>
        <w:tblStyle w:val="TableGrid"/>
        <w:tblW w:w="14040" w:type="dxa"/>
        <w:tblInd w:w="-545" w:type="dxa"/>
        <w:tblLayout w:type="fixed"/>
        <w:tblLook w:val="04A0" w:firstRow="1" w:lastRow="0" w:firstColumn="1" w:lastColumn="0" w:noHBand="0" w:noVBand="1"/>
      </w:tblPr>
      <w:tblGrid>
        <w:gridCol w:w="1620"/>
        <w:gridCol w:w="1261"/>
        <w:gridCol w:w="1529"/>
        <w:gridCol w:w="1440"/>
        <w:gridCol w:w="1800"/>
        <w:gridCol w:w="2250"/>
        <w:gridCol w:w="1980"/>
        <w:gridCol w:w="2160"/>
      </w:tblGrid>
      <w:tr w:rsidR="0084659D" w:rsidTr="00274BAD">
        <w:tc>
          <w:tcPr>
            <w:tcW w:w="14040" w:type="dxa"/>
            <w:gridSpan w:val="8"/>
          </w:tcPr>
          <w:p w:rsidR="0084659D" w:rsidRDefault="0084659D" w:rsidP="0084659D">
            <w:pPr>
              <w:jc w:val="center"/>
              <w:rPr>
                <w:rFonts w:ascii="Times New Roman" w:hAnsi="Times New Roman" w:cs="Times New Roman"/>
                <w:b/>
                <w:sz w:val="24"/>
                <w:szCs w:val="24"/>
              </w:rPr>
            </w:pPr>
          </w:p>
          <w:p w:rsidR="0084659D" w:rsidRDefault="0084659D" w:rsidP="0084659D">
            <w:pPr>
              <w:jc w:val="center"/>
              <w:rPr>
                <w:rFonts w:ascii="Times New Roman" w:hAnsi="Times New Roman" w:cs="Times New Roman"/>
                <w:b/>
                <w:sz w:val="24"/>
                <w:szCs w:val="24"/>
              </w:rPr>
            </w:pPr>
            <w:r w:rsidRPr="0084659D">
              <w:rPr>
                <w:rFonts w:ascii="Times New Roman" w:hAnsi="Times New Roman" w:cs="Times New Roman"/>
                <w:b/>
                <w:sz w:val="24"/>
                <w:szCs w:val="24"/>
              </w:rPr>
              <w:t>Cultural and Social Assessment Literature Table</w:t>
            </w:r>
          </w:p>
          <w:p w:rsidR="0084659D" w:rsidRPr="0084659D" w:rsidRDefault="0084659D" w:rsidP="0084659D">
            <w:pPr>
              <w:jc w:val="center"/>
              <w:rPr>
                <w:rFonts w:ascii="Times New Roman" w:hAnsi="Times New Roman" w:cs="Times New Roman"/>
                <w:b/>
                <w:sz w:val="24"/>
                <w:szCs w:val="24"/>
              </w:rPr>
            </w:pPr>
          </w:p>
        </w:tc>
      </w:tr>
      <w:tr w:rsidR="004A367D" w:rsidTr="00C12AF3">
        <w:tc>
          <w:tcPr>
            <w:tcW w:w="1620" w:type="dxa"/>
          </w:tcPr>
          <w:p w:rsidR="004A367D" w:rsidRDefault="004A367D">
            <w:r>
              <w:t>Title of Article</w:t>
            </w:r>
          </w:p>
        </w:tc>
        <w:tc>
          <w:tcPr>
            <w:tcW w:w="1261" w:type="dxa"/>
          </w:tcPr>
          <w:p w:rsidR="004A367D" w:rsidRDefault="004A367D">
            <w:r>
              <w:t>Authors w/ Credential</w:t>
            </w:r>
          </w:p>
        </w:tc>
        <w:tc>
          <w:tcPr>
            <w:tcW w:w="1529" w:type="dxa"/>
          </w:tcPr>
          <w:p w:rsidR="004A367D" w:rsidRDefault="004A367D">
            <w:r>
              <w:t>Research Question</w:t>
            </w:r>
          </w:p>
        </w:tc>
        <w:tc>
          <w:tcPr>
            <w:tcW w:w="1440" w:type="dxa"/>
          </w:tcPr>
          <w:p w:rsidR="004A367D" w:rsidRDefault="004A367D">
            <w:r>
              <w:t>Study Design</w:t>
            </w:r>
          </w:p>
        </w:tc>
        <w:tc>
          <w:tcPr>
            <w:tcW w:w="1800" w:type="dxa"/>
          </w:tcPr>
          <w:p w:rsidR="004A367D" w:rsidRDefault="004A367D">
            <w:r>
              <w:t>Level of Evidence</w:t>
            </w:r>
          </w:p>
        </w:tc>
        <w:tc>
          <w:tcPr>
            <w:tcW w:w="2250" w:type="dxa"/>
          </w:tcPr>
          <w:p w:rsidR="004A367D" w:rsidRDefault="004A367D">
            <w:r>
              <w:t>Description of Sample</w:t>
            </w:r>
          </w:p>
        </w:tc>
        <w:tc>
          <w:tcPr>
            <w:tcW w:w="1980" w:type="dxa"/>
          </w:tcPr>
          <w:p w:rsidR="004A367D" w:rsidRDefault="004A367D">
            <w:r>
              <w:t>Outcome Measures</w:t>
            </w:r>
          </w:p>
        </w:tc>
        <w:tc>
          <w:tcPr>
            <w:tcW w:w="2160" w:type="dxa"/>
          </w:tcPr>
          <w:p w:rsidR="004A367D" w:rsidRDefault="004A367D">
            <w:r>
              <w:t>Results</w:t>
            </w:r>
          </w:p>
        </w:tc>
      </w:tr>
      <w:tr w:rsidR="004A367D" w:rsidTr="00C12AF3">
        <w:tc>
          <w:tcPr>
            <w:tcW w:w="1620" w:type="dxa"/>
          </w:tcPr>
          <w:p w:rsidR="004A367D" w:rsidRDefault="004A367D">
            <w:r>
              <w:t xml:space="preserve">Adequacy of US Hospital Security Preparedness for Mass Casualty Incidents: Critical Lessons from the Israeli Experience </w:t>
            </w:r>
            <w:r w:rsidRPr="004A367D">
              <w:rPr>
                <w:b/>
                <w:u w:val="single"/>
              </w:rPr>
              <w:t>Economic</w:t>
            </w:r>
          </w:p>
        </w:tc>
        <w:tc>
          <w:tcPr>
            <w:tcW w:w="1261" w:type="dxa"/>
          </w:tcPr>
          <w:p w:rsidR="004A367D" w:rsidRDefault="004A367D">
            <w:r>
              <w:t xml:space="preserve">Michele </w:t>
            </w:r>
            <w:proofErr w:type="spellStart"/>
            <w:r>
              <w:t>Golabek</w:t>
            </w:r>
            <w:proofErr w:type="spellEnd"/>
            <w:r>
              <w:t>-Goldman, JD, MPP, BA</w:t>
            </w:r>
          </w:p>
        </w:tc>
        <w:tc>
          <w:tcPr>
            <w:tcW w:w="1529" w:type="dxa"/>
          </w:tcPr>
          <w:p w:rsidR="004A367D" w:rsidRDefault="00E363B1">
            <w:r>
              <w:t>What is the cost effectiveness lessons from the Israeli experience for improving US hospital security preparedness for a wide range of mass casualty incidents, both natural and man-</w:t>
            </w:r>
            <w:r w:rsidR="00F02BF7">
              <w:t>made?</w:t>
            </w:r>
            <w:sdt>
              <w:sdtPr>
                <w:id w:val="177089582"/>
                <w:citation/>
              </w:sdtPr>
              <w:sdtContent>
                <w:r w:rsidR="0073690B">
                  <w:fldChar w:fldCharType="begin"/>
                </w:r>
                <w:r w:rsidR="0073690B">
                  <w:instrText xml:space="preserve"> CITATION MIc16 \l 1033 </w:instrText>
                </w:r>
                <w:r w:rsidR="0073690B">
                  <w:fldChar w:fldCharType="separate"/>
                </w:r>
                <w:r w:rsidR="0073690B">
                  <w:rPr>
                    <w:noProof/>
                  </w:rPr>
                  <w:t xml:space="preserve"> (Golabek-Goldman, 2016)</w:t>
                </w:r>
                <w:r w:rsidR="0073690B">
                  <w:fldChar w:fldCharType="end"/>
                </w:r>
              </w:sdtContent>
            </w:sdt>
          </w:p>
        </w:tc>
        <w:tc>
          <w:tcPr>
            <w:tcW w:w="1440" w:type="dxa"/>
          </w:tcPr>
          <w:p w:rsidR="004A367D" w:rsidRDefault="00E363B1">
            <w:r>
              <w:t xml:space="preserve">Randomized Control Study (RCT) </w:t>
            </w:r>
          </w:p>
        </w:tc>
        <w:tc>
          <w:tcPr>
            <w:tcW w:w="1800" w:type="dxa"/>
          </w:tcPr>
          <w:p w:rsidR="004A367D" w:rsidRDefault="00E363B1">
            <w:r>
              <w:t>Level C- Qualitative analysis was performed. Recommendations made based on all-hazards approach to emergency preparedness</w:t>
            </w:r>
            <w:r w:rsidR="0073690B">
              <w:t xml:space="preserve"> </w:t>
            </w:r>
            <w:sdt>
              <w:sdtPr>
                <w:id w:val="-1704405422"/>
                <w:citation/>
              </w:sdtPr>
              <w:sdtContent>
                <w:r w:rsidR="0073690B">
                  <w:fldChar w:fldCharType="begin"/>
                </w:r>
                <w:r w:rsidR="0073690B">
                  <w:instrText xml:space="preserve"> CITATION MIc16 \l 1033 </w:instrText>
                </w:r>
                <w:r w:rsidR="0073690B">
                  <w:fldChar w:fldCharType="separate"/>
                </w:r>
                <w:r w:rsidR="0073690B">
                  <w:rPr>
                    <w:noProof/>
                  </w:rPr>
                  <w:t>(Golabek-Goldman, 2016)</w:t>
                </w:r>
                <w:r w:rsidR="0073690B">
                  <w:fldChar w:fldCharType="end"/>
                </w:r>
              </w:sdtContent>
            </w:sdt>
            <w:r>
              <w:t>.</w:t>
            </w:r>
          </w:p>
        </w:tc>
        <w:tc>
          <w:tcPr>
            <w:tcW w:w="2250" w:type="dxa"/>
          </w:tcPr>
          <w:p w:rsidR="004A367D" w:rsidRDefault="00E363B1">
            <w:r>
              <w:t xml:space="preserve">60 semi-structured interviews were conducted with officials </w:t>
            </w:r>
            <w:r w:rsidR="00D3406A">
              <w:t>from Israeli and the United States health, defense, and emergency response communities. Hospital preparedness was examined and disaster drills were performed</w:t>
            </w:r>
            <w:r w:rsidR="0073690B">
              <w:t xml:space="preserve"> </w:t>
            </w:r>
            <w:sdt>
              <w:sdtPr>
                <w:id w:val="735049181"/>
                <w:citation/>
              </w:sdtPr>
              <w:sdtContent>
                <w:r w:rsidR="0073690B">
                  <w:fldChar w:fldCharType="begin"/>
                </w:r>
                <w:r w:rsidR="0073690B">
                  <w:instrText xml:space="preserve"> CITATION MIc16 \l 1033 </w:instrText>
                </w:r>
                <w:r w:rsidR="0073690B">
                  <w:fldChar w:fldCharType="separate"/>
                </w:r>
                <w:r w:rsidR="0073690B">
                  <w:rPr>
                    <w:noProof/>
                  </w:rPr>
                  <w:t>(Golabek-Goldman, 2016)</w:t>
                </w:r>
                <w:r w:rsidR="0073690B">
                  <w:fldChar w:fldCharType="end"/>
                </w:r>
              </w:sdtContent>
            </w:sdt>
            <w:r w:rsidR="00D3406A">
              <w:t>.</w:t>
            </w:r>
          </w:p>
        </w:tc>
        <w:tc>
          <w:tcPr>
            <w:tcW w:w="1980" w:type="dxa"/>
          </w:tcPr>
          <w:p w:rsidR="004A367D" w:rsidRDefault="00D3406A">
            <w:r>
              <w:t>To prepare the United States hospital facilities in modifying dangerous deficiencies in disaster planning</w:t>
            </w:r>
            <w:r w:rsidR="0073690B">
              <w:t xml:space="preserve"> </w:t>
            </w:r>
            <w:sdt>
              <w:sdtPr>
                <w:id w:val="-1320259117"/>
                <w:citation/>
              </w:sdtPr>
              <w:sdtContent>
                <w:r w:rsidR="0073690B">
                  <w:fldChar w:fldCharType="begin"/>
                </w:r>
                <w:r w:rsidR="0073690B">
                  <w:instrText xml:space="preserve"> CITATION MIc16 \l 1033 </w:instrText>
                </w:r>
                <w:r w:rsidR="0073690B">
                  <w:fldChar w:fldCharType="separate"/>
                </w:r>
                <w:r w:rsidR="0073690B">
                  <w:rPr>
                    <w:noProof/>
                  </w:rPr>
                  <w:t>(Golabek-Goldman, 2016)</w:t>
                </w:r>
                <w:r w:rsidR="0073690B">
                  <w:fldChar w:fldCharType="end"/>
                </w:r>
              </w:sdtContent>
            </w:sdt>
            <w:r>
              <w:t xml:space="preserve">. </w:t>
            </w:r>
          </w:p>
        </w:tc>
        <w:tc>
          <w:tcPr>
            <w:tcW w:w="2160" w:type="dxa"/>
          </w:tcPr>
          <w:p w:rsidR="004A367D" w:rsidRDefault="00D3406A">
            <w:r>
              <w:t>The United States hospitals had yet to prepare for mass casualty incidents. Recommendations include; installing emergency directions, improve protocols and training for disasters, increase defense against primary and secondary attacks, coordinate with law officials, National Guard and other security agencies and to provide more frequent disaster drills</w:t>
            </w:r>
            <w:r w:rsidR="0073690B">
              <w:t xml:space="preserve"> </w:t>
            </w:r>
            <w:sdt>
              <w:sdtPr>
                <w:id w:val="678162082"/>
                <w:citation/>
              </w:sdtPr>
              <w:sdtContent>
                <w:r w:rsidR="0073690B">
                  <w:fldChar w:fldCharType="begin"/>
                </w:r>
                <w:r w:rsidR="0073690B">
                  <w:instrText xml:space="preserve"> CITATION MIc16 \l 1033 </w:instrText>
                </w:r>
                <w:r w:rsidR="0073690B">
                  <w:fldChar w:fldCharType="separate"/>
                </w:r>
                <w:r w:rsidR="0073690B">
                  <w:rPr>
                    <w:noProof/>
                  </w:rPr>
                  <w:t>(Golabek-Goldman, 2016)</w:t>
                </w:r>
                <w:r w:rsidR="0073690B">
                  <w:fldChar w:fldCharType="end"/>
                </w:r>
              </w:sdtContent>
            </w:sdt>
            <w:r>
              <w:t xml:space="preserve">. </w:t>
            </w:r>
          </w:p>
        </w:tc>
      </w:tr>
      <w:tr w:rsidR="004A367D" w:rsidTr="00C12AF3">
        <w:tc>
          <w:tcPr>
            <w:tcW w:w="1620" w:type="dxa"/>
          </w:tcPr>
          <w:p w:rsidR="004A367D" w:rsidRDefault="004A367D">
            <w:r>
              <w:t xml:space="preserve">Key Ethical Issues Discussed at CDC-Sponsored International, Regional </w:t>
            </w:r>
            <w:r>
              <w:lastRenderedPageBreak/>
              <w:t>Meetings to Explore Cultural Perspectives and Contexts on Pandemic Influenza Preparedness and Response</w:t>
            </w:r>
          </w:p>
          <w:p w:rsidR="004A367D" w:rsidRPr="004A367D" w:rsidRDefault="004A367D">
            <w:pPr>
              <w:rPr>
                <w:b/>
                <w:u w:val="single"/>
              </w:rPr>
            </w:pPr>
            <w:r w:rsidRPr="004A367D">
              <w:rPr>
                <w:b/>
                <w:u w:val="single"/>
              </w:rPr>
              <w:t>Social/Cultural</w:t>
            </w:r>
          </w:p>
        </w:tc>
        <w:tc>
          <w:tcPr>
            <w:tcW w:w="1261" w:type="dxa"/>
          </w:tcPr>
          <w:p w:rsidR="004A367D" w:rsidRDefault="00883FAE">
            <w:proofErr w:type="spellStart"/>
            <w:r>
              <w:lastRenderedPageBreak/>
              <w:t>Aun</w:t>
            </w:r>
            <w:proofErr w:type="spellEnd"/>
            <w:r>
              <w:t xml:space="preserve"> </w:t>
            </w:r>
            <w:proofErr w:type="spellStart"/>
            <w:r>
              <w:t>Lor</w:t>
            </w:r>
            <w:proofErr w:type="spellEnd"/>
            <w:r>
              <w:t xml:space="preserve">, James Thomas, </w:t>
            </w:r>
            <w:proofErr w:type="spellStart"/>
            <w:r>
              <w:t>Drue</w:t>
            </w:r>
            <w:proofErr w:type="spellEnd"/>
            <w:r>
              <w:t xml:space="preserve"> Barrett, Leonard </w:t>
            </w:r>
            <w:proofErr w:type="spellStart"/>
            <w:r>
              <w:lastRenderedPageBreak/>
              <w:t>Ortmann</w:t>
            </w:r>
            <w:proofErr w:type="spellEnd"/>
            <w:r>
              <w:t xml:space="preserve">, </w:t>
            </w:r>
            <w:proofErr w:type="spellStart"/>
            <w:r>
              <w:t>Dionisio</w:t>
            </w:r>
            <w:proofErr w:type="spellEnd"/>
            <w:r>
              <w:t xml:space="preserve"> Herrera </w:t>
            </w:r>
            <w:proofErr w:type="spellStart"/>
            <w:r>
              <w:t>Guibert</w:t>
            </w:r>
            <w:proofErr w:type="spellEnd"/>
          </w:p>
        </w:tc>
        <w:tc>
          <w:tcPr>
            <w:tcW w:w="1529" w:type="dxa"/>
          </w:tcPr>
          <w:p w:rsidR="004A367D" w:rsidRDefault="00F02BF7">
            <w:r>
              <w:lastRenderedPageBreak/>
              <w:t>What is the</w:t>
            </w:r>
            <w:r w:rsidR="00280F0D">
              <w:t xml:space="preserve"> </w:t>
            </w:r>
            <w:r>
              <w:t xml:space="preserve">importance of having a broad exploration of how cultural </w:t>
            </w:r>
            <w:r>
              <w:lastRenderedPageBreak/>
              <w:t xml:space="preserve">perspectives </w:t>
            </w:r>
            <w:r w:rsidR="00280F0D">
              <w:t>may shape thinking about ethical considerations during pandemic influenza preparedness and response?</w:t>
            </w:r>
            <w:r w:rsidR="0073690B">
              <w:t xml:space="preserve"> </w:t>
            </w:r>
            <w:sdt>
              <w:sdtPr>
                <w:id w:val="1063446306"/>
                <w:citation/>
              </w:sdtPr>
              <w:sdtContent>
                <w:r w:rsidR="0073690B">
                  <w:fldChar w:fldCharType="begin"/>
                </w:r>
                <w:r w:rsidR="0073690B">
                  <w:instrText xml:space="preserve"> CITATION Aun16 \l 1033 </w:instrText>
                </w:r>
                <w:r w:rsidR="0073690B">
                  <w:fldChar w:fldCharType="separate"/>
                </w:r>
                <w:r w:rsidR="0073690B">
                  <w:rPr>
                    <w:noProof/>
                  </w:rPr>
                  <w:t>(Lor, Thomas, Barrett, Ortmann, &amp; Guibert, 2016)</w:t>
                </w:r>
                <w:r w:rsidR="0073690B">
                  <w:fldChar w:fldCharType="end"/>
                </w:r>
              </w:sdtContent>
            </w:sdt>
          </w:p>
        </w:tc>
        <w:tc>
          <w:tcPr>
            <w:tcW w:w="1440" w:type="dxa"/>
          </w:tcPr>
          <w:p w:rsidR="004A367D" w:rsidRDefault="00280F0D">
            <w:r>
              <w:lastRenderedPageBreak/>
              <w:t>Case Series</w:t>
            </w:r>
          </w:p>
        </w:tc>
        <w:tc>
          <w:tcPr>
            <w:tcW w:w="1800" w:type="dxa"/>
          </w:tcPr>
          <w:p w:rsidR="004A367D" w:rsidRDefault="00280F0D">
            <w:r>
              <w:t xml:space="preserve">Level D- Four meetings were attended by 168 health professionals, scientists, </w:t>
            </w:r>
            <w:r>
              <w:lastRenderedPageBreak/>
              <w:t>academics, ethicists, religious leaders, and community members</w:t>
            </w:r>
            <w:r w:rsidR="0073690B">
              <w:t xml:space="preserve"> </w:t>
            </w:r>
            <w:sdt>
              <w:sdtPr>
                <w:id w:val="-981083229"/>
                <w:citation/>
              </w:sdtPr>
              <w:sdtContent>
                <w:r w:rsidR="0073690B">
                  <w:fldChar w:fldCharType="begin"/>
                </w:r>
                <w:r w:rsidR="0073690B">
                  <w:instrText xml:space="preserve"> CITATION Aun16 \l 1033 </w:instrText>
                </w:r>
                <w:r w:rsidR="0073690B">
                  <w:fldChar w:fldCharType="separate"/>
                </w:r>
                <w:r w:rsidR="0073690B">
                  <w:rPr>
                    <w:noProof/>
                  </w:rPr>
                  <w:t>(Lor, Thomas, Barrett, Ortmann, &amp; Guibert, 2016)</w:t>
                </w:r>
                <w:r w:rsidR="0073690B">
                  <w:fldChar w:fldCharType="end"/>
                </w:r>
              </w:sdtContent>
            </w:sdt>
            <w:r>
              <w:t xml:space="preserve">. </w:t>
            </w:r>
          </w:p>
        </w:tc>
        <w:tc>
          <w:tcPr>
            <w:tcW w:w="2250" w:type="dxa"/>
          </w:tcPr>
          <w:p w:rsidR="004A367D" w:rsidRDefault="00280F0D" w:rsidP="00161B24">
            <w:r>
              <w:lastRenderedPageBreak/>
              <w:t>Reports, notes and stories were mapped into outcomes</w:t>
            </w:r>
            <w:r w:rsidR="00161B24">
              <w:t xml:space="preserve"> described by the World Health Organization’s </w:t>
            </w:r>
            <w:r w:rsidR="00161B24">
              <w:lastRenderedPageBreak/>
              <w:t>guidance, ethical considerations in developing a public health response to pandemic influenza</w:t>
            </w:r>
            <w:r w:rsidR="0073690B">
              <w:t xml:space="preserve"> </w:t>
            </w:r>
            <w:sdt>
              <w:sdtPr>
                <w:id w:val="-1142119161"/>
                <w:citation/>
              </w:sdtPr>
              <w:sdtContent>
                <w:r w:rsidR="0073690B">
                  <w:fldChar w:fldCharType="begin"/>
                </w:r>
                <w:r w:rsidR="0073690B">
                  <w:instrText xml:space="preserve"> CITATION Aun16 \l 1033 </w:instrText>
                </w:r>
                <w:r w:rsidR="0073690B">
                  <w:fldChar w:fldCharType="separate"/>
                </w:r>
                <w:r w:rsidR="0073690B">
                  <w:rPr>
                    <w:noProof/>
                  </w:rPr>
                  <w:t>(Lor, Thomas, Barrett, Ortmann, &amp; Guibert, 2016)</w:t>
                </w:r>
                <w:r w:rsidR="0073690B">
                  <w:fldChar w:fldCharType="end"/>
                </w:r>
              </w:sdtContent>
            </w:sdt>
            <w:r w:rsidR="00161B24">
              <w:t xml:space="preserve">. </w:t>
            </w:r>
          </w:p>
        </w:tc>
        <w:tc>
          <w:tcPr>
            <w:tcW w:w="1980" w:type="dxa"/>
          </w:tcPr>
          <w:p w:rsidR="004A367D" w:rsidRDefault="003B392A">
            <w:r>
              <w:lastRenderedPageBreak/>
              <w:t xml:space="preserve">To develop a public health response to pandemic influenza; transparency and public </w:t>
            </w:r>
            <w:r>
              <w:lastRenderedPageBreak/>
              <w:t>engagement, allocation of resources, social distancing, and obligations to and of health care workers and international collaboration</w:t>
            </w:r>
            <w:r w:rsidR="0073690B">
              <w:t xml:space="preserve"> </w:t>
            </w:r>
            <w:sdt>
              <w:sdtPr>
                <w:id w:val="639771208"/>
                <w:citation/>
              </w:sdtPr>
              <w:sdtContent>
                <w:r w:rsidR="0073690B">
                  <w:fldChar w:fldCharType="begin"/>
                </w:r>
                <w:r w:rsidR="0073690B">
                  <w:instrText xml:space="preserve"> CITATION Aun16 \l 1033 </w:instrText>
                </w:r>
                <w:r w:rsidR="0073690B">
                  <w:fldChar w:fldCharType="separate"/>
                </w:r>
                <w:r w:rsidR="0073690B">
                  <w:rPr>
                    <w:noProof/>
                  </w:rPr>
                  <w:t>(Lor, Thomas, Barrett, Ortmann, &amp; Guibert, 2016)</w:t>
                </w:r>
                <w:r w:rsidR="0073690B">
                  <w:fldChar w:fldCharType="end"/>
                </w:r>
              </w:sdtContent>
            </w:sdt>
            <w:r>
              <w:t xml:space="preserve">.  </w:t>
            </w:r>
          </w:p>
        </w:tc>
        <w:tc>
          <w:tcPr>
            <w:tcW w:w="2160" w:type="dxa"/>
          </w:tcPr>
          <w:p w:rsidR="00C12AF3" w:rsidRDefault="00161B24" w:rsidP="00161B24">
            <w:r>
              <w:lastRenderedPageBreak/>
              <w:t xml:space="preserve">Transparency </w:t>
            </w:r>
            <w:r w:rsidR="003B392A">
              <w:t>and public engagement was widely</w:t>
            </w:r>
            <w:r>
              <w:t xml:space="preserve"> accepted. Allocation of resources was more difficult to find a </w:t>
            </w:r>
            <w:r>
              <w:lastRenderedPageBreak/>
              <w:t>“one size fits all” and needs to be addressed. Social distancing is a difficult tool to limit disease transmission. Health care workers have an obligations to maintain safe and quality care to the patient which in response the facility needs to provide training and appropriate personal protective devices to aid in this care</w:t>
            </w:r>
            <w:r w:rsidR="0073690B">
              <w:t xml:space="preserve"> </w:t>
            </w:r>
            <w:sdt>
              <w:sdtPr>
                <w:id w:val="-431737038"/>
                <w:citation/>
              </w:sdtPr>
              <w:sdtContent>
                <w:r w:rsidR="0073690B">
                  <w:fldChar w:fldCharType="begin"/>
                </w:r>
                <w:r w:rsidR="0073690B">
                  <w:instrText xml:space="preserve"> CITATION Aun16 \l 1033 </w:instrText>
                </w:r>
                <w:r w:rsidR="0073690B">
                  <w:fldChar w:fldCharType="separate"/>
                </w:r>
                <w:r w:rsidR="0073690B">
                  <w:rPr>
                    <w:noProof/>
                  </w:rPr>
                  <w:t>(Lor, Thomas, Barrett, Ortmann, &amp; Guibert, 2016)</w:t>
                </w:r>
                <w:r w:rsidR="0073690B">
                  <w:fldChar w:fldCharType="end"/>
                </w:r>
              </w:sdtContent>
            </w:sdt>
            <w:r>
              <w:t xml:space="preserve">. </w:t>
            </w:r>
            <w:bookmarkStart w:id="0" w:name="_GoBack"/>
            <w:bookmarkEnd w:id="0"/>
          </w:p>
        </w:tc>
      </w:tr>
      <w:tr w:rsidR="004A367D" w:rsidTr="00C12AF3">
        <w:tc>
          <w:tcPr>
            <w:tcW w:w="1620" w:type="dxa"/>
          </w:tcPr>
          <w:p w:rsidR="004A367D" w:rsidRPr="00883FAE" w:rsidRDefault="00883FAE">
            <w:pPr>
              <w:rPr>
                <w:b/>
                <w:u w:val="single"/>
              </w:rPr>
            </w:pPr>
            <w:r>
              <w:lastRenderedPageBreak/>
              <w:t xml:space="preserve">Law, ethics and pandemic preparedness: the importance of cross- jurisdictional and cross-cultural perspectives </w:t>
            </w:r>
            <w:r w:rsidRPr="00883FAE">
              <w:rPr>
                <w:b/>
                <w:u w:val="single"/>
              </w:rPr>
              <w:t>Ethical</w:t>
            </w:r>
          </w:p>
        </w:tc>
        <w:tc>
          <w:tcPr>
            <w:tcW w:w="1261" w:type="dxa"/>
          </w:tcPr>
          <w:p w:rsidR="004A367D" w:rsidRDefault="00136FDF">
            <w:r>
              <w:t>Belinda Bennett, Terry Carney</w:t>
            </w:r>
          </w:p>
        </w:tc>
        <w:tc>
          <w:tcPr>
            <w:tcW w:w="1529" w:type="dxa"/>
          </w:tcPr>
          <w:p w:rsidR="004A367D" w:rsidRDefault="00EC6555">
            <w:r>
              <w:t xml:space="preserve">What are the social equity, health planning, regulatory and ethical dilemmas in responding to a pandemic influenza outbreak, and the adequacy of protocols and standards </w:t>
            </w:r>
            <w:r>
              <w:lastRenderedPageBreak/>
              <w:t>such as the International Health Regulations?</w:t>
            </w:r>
            <w:r w:rsidR="0073690B">
              <w:t xml:space="preserve"> </w:t>
            </w:r>
            <w:sdt>
              <w:sdtPr>
                <w:id w:val="-476071133"/>
                <w:citation/>
              </w:sdtPr>
              <w:sdtContent>
                <w:r w:rsidR="0073690B">
                  <w:fldChar w:fldCharType="begin"/>
                </w:r>
                <w:r w:rsidR="0073690B">
                  <w:instrText xml:space="preserve"> CITATION Bel10 \l 1033 </w:instrText>
                </w:r>
                <w:r w:rsidR="0073690B">
                  <w:fldChar w:fldCharType="separate"/>
                </w:r>
                <w:r w:rsidR="0073690B">
                  <w:rPr>
                    <w:noProof/>
                  </w:rPr>
                  <w:t>(Bennett &amp; Carney, 2010)</w:t>
                </w:r>
                <w:r w:rsidR="0073690B">
                  <w:fldChar w:fldCharType="end"/>
                </w:r>
              </w:sdtContent>
            </w:sdt>
          </w:p>
        </w:tc>
        <w:tc>
          <w:tcPr>
            <w:tcW w:w="1440" w:type="dxa"/>
          </w:tcPr>
          <w:p w:rsidR="004A367D" w:rsidRDefault="00EC6555">
            <w:r>
              <w:lastRenderedPageBreak/>
              <w:t>Case Series</w:t>
            </w:r>
          </w:p>
        </w:tc>
        <w:tc>
          <w:tcPr>
            <w:tcW w:w="1800" w:type="dxa"/>
          </w:tcPr>
          <w:p w:rsidR="004A367D" w:rsidRDefault="00EC6555">
            <w:r>
              <w:t>Level E-</w:t>
            </w:r>
          </w:p>
          <w:p w:rsidR="00EC6555" w:rsidRDefault="00EC6555">
            <w:r>
              <w:t>Referencing three pandemic outbreaks aging from 1918, 1957 and 1968</w:t>
            </w:r>
            <w:r w:rsidR="0073690B">
              <w:t xml:space="preserve"> </w:t>
            </w:r>
            <w:sdt>
              <w:sdtPr>
                <w:id w:val="-92940418"/>
                <w:citation/>
              </w:sdtPr>
              <w:sdtContent>
                <w:r w:rsidR="0073690B">
                  <w:fldChar w:fldCharType="begin"/>
                </w:r>
                <w:r w:rsidR="0073690B">
                  <w:instrText xml:space="preserve"> CITATION Bel10 \l 1033 </w:instrText>
                </w:r>
                <w:r w:rsidR="0073690B">
                  <w:fldChar w:fldCharType="separate"/>
                </w:r>
                <w:r w:rsidR="0073690B">
                  <w:rPr>
                    <w:noProof/>
                  </w:rPr>
                  <w:t>(Bennett &amp; Carney, 2010)</w:t>
                </w:r>
                <w:r w:rsidR="0073690B">
                  <w:fldChar w:fldCharType="end"/>
                </w:r>
              </w:sdtContent>
            </w:sdt>
            <w:r>
              <w:t xml:space="preserve">. </w:t>
            </w:r>
          </w:p>
        </w:tc>
        <w:tc>
          <w:tcPr>
            <w:tcW w:w="2250" w:type="dxa"/>
          </w:tcPr>
          <w:p w:rsidR="004A367D" w:rsidRDefault="00EC6555">
            <w:r>
              <w:t xml:space="preserve">The study explores the relevance of cross-jurisdictional and cross-cultural perspectives in assessing the validity of goals for harmonization of laws, and policies both within and between nations. Australian and international experience is </w:t>
            </w:r>
            <w:r>
              <w:lastRenderedPageBreak/>
              <w:t>reviewed</w:t>
            </w:r>
            <w:r w:rsidR="0073690B">
              <w:t xml:space="preserve"> </w:t>
            </w:r>
            <w:sdt>
              <w:sdtPr>
                <w:id w:val="-314029348"/>
                <w:citation/>
              </w:sdtPr>
              <w:sdtContent>
                <w:r w:rsidR="0073690B">
                  <w:fldChar w:fldCharType="begin"/>
                </w:r>
                <w:r w:rsidR="0073690B">
                  <w:instrText xml:space="preserve"> CITATION Bel10 \l 1033 </w:instrText>
                </w:r>
                <w:r w:rsidR="0073690B">
                  <w:fldChar w:fldCharType="separate"/>
                </w:r>
                <w:r w:rsidR="0073690B">
                  <w:rPr>
                    <w:noProof/>
                  </w:rPr>
                  <w:t>(Bennett &amp; Carney, 2010)</w:t>
                </w:r>
                <w:r w:rsidR="0073690B">
                  <w:fldChar w:fldCharType="end"/>
                </w:r>
              </w:sdtContent>
            </w:sdt>
            <w:r>
              <w:t xml:space="preserve">. </w:t>
            </w:r>
          </w:p>
        </w:tc>
        <w:tc>
          <w:tcPr>
            <w:tcW w:w="1980" w:type="dxa"/>
          </w:tcPr>
          <w:p w:rsidR="004A367D" w:rsidRDefault="00BD4408">
            <w:r>
              <w:lastRenderedPageBreak/>
              <w:t>To analyze the role of legal and ethical considerat</w:t>
            </w:r>
            <w:r w:rsidR="0073690B">
              <w:t xml:space="preserve">ions for pandemic preparedness </w:t>
            </w:r>
            <w:sdt>
              <w:sdtPr>
                <w:id w:val="1913118121"/>
                <w:citation/>
              </w:sdtPr>
              <w:sdtContent>
                <w:r w:rsidR="0073690B">
                  <w:fldChar w:fldCharType="begin"/>
                </w:r>
                <w:r w:rsidR="0073690B">
                  <w:instrText xml:space="preserve"> CITATION Bel10 \l 1033 </w:instrText>
                </w:r>
                <w:r w:rsidR="0073690B">
                  <w:fldChar w:fldCharType="separate"/>
                </w:r>
                <w:r w:rsidR="0073690B">
                  <w:rPr>
                    <w:noProof/>
                  </w:rPr>
                  <w:t>(Bennett &amp; Carney, 2010)</w:t>
                </w:r>
                <w:r w:rsidR="0073690B">
                  <w:fldChar w:fldCharType="end"/>
                </w:r>
              </w:sdtContent>
            </w:sdt>
          </w:p>
        </w:tc>
        <w:tc>
          <w:tcPr>
            <w:tcW w:w="2160" w:type="dxa"/>
          </w:tcPr>
          <w:p w:rsidR="004A367D" w:rsidRDefault="00EC6555">
            <w:r>
              <w:t xml:space="preserve">The cultural and ethical acceptability of pandemic planning measures require to be more flexible and more nuanced than is currently envisaged in international guidelines if an effective response is to be constructed internationally. There is potential for regional guidelines in </w:t>
            </w:r>
            <w:r>
              <w:lastRenderedPageBreak/>
              <w:t xml:space="preserve">supplementation </w:t>
            </w:r>
            <w:sdt>
              <w:sdtPr>
                <w:id w:val="326554721"/>
                <w:citation/>
              </w:sdtPr>
              <w:sdtContent>
                <w:r w:rsidR="0073690B">
                  <w:fldChar w:fldCharType="begin"/>
                </w:r>
                <w:r w:rsidR="0073690B">
                  <w:instrText xml:space="preserve"> CITATION Bel10 \l 1033 </w:instrText>
                </w:r>
                <w:r w:rsidR="0073690B">
                  <w:fldChar w:fldCharType="separate"/>
                </w:r>
                <w:r w:rsidR="0073690B">
                  <w:rPr>
                    <w:noProof/>
                  </w:rPr>
                  <w:t>(Bennett &amp; Carney, 2010)</w:t>
                </w:r>
                <w:r w:rsidR="0073690B">
                  <w:fldChar w:fldCharType="end"/>
                </w:r>
              </w:sdtContent>
            </w:sdt>
            <w:r>
              <w:t xml:space="preserve">. </w:t>
            </w:r>
          </w:p>
        </w:tc>
      </w:tr>
      <w:tr w:rsidR="004A367D" w:rsidTr="00C12AF3">
        <w:tc>
          <w:tcPr>
            <w:tcW w:w="1620" w:type="dxa"/>
          </w:tcPr>
          <w:p w:rsidR="004A367D" w:rsidRDefault="00883FAE">
            <w:r>
              <w:lastRenderedPageBreak/>
              <w:t>Clinical Laboratory Response to a Mock Outbreak of Invasive Bacterial Infections: a Preparedness Study</w:t>
            </w:r>
          </w:p>
          <w:p w:rsidR="00883FAE" w:rsidRPr="00883FAE" w:rsidRDefault="00883FAE">
            <w:pPr>
              <w:rPr>
                <w:b/>
                <w:u w:val="single"/>
              </w:rPr>
            </w:pPr>
            <w:r w:rsidRPr="00883FAE">
              <w:rPr>
                <w:b/>
                <w:u w:val="single"/>
              </w:rPr>
              <w:t>Genetics/Genomics</w:t>
            </w:r>
          </w:p>
        </w:tc>
        <w:tc>
          <w:tcPr>
            <w:tcW w:w="1261" w:type="dxa"/>
          </w:tcPr>
          <w:p w:rsidR="004A367D" w:rsidRDefault="00883FAE">
            <w:r>
              <w:t xml:space="preserve">Randall Olsen, </w:t>
            </w:r>
            <w:proofErr w:type="spellStart"/>
            <w:r>
              <w:t>Nahuel</w:t>
            </w:r>
            <w:proofErr w:type="spellEnd"/>
            <w:r>
              <w:t xml:space="preserve"> </w:t>
            </w:r>
            <w:proofErr w:type="spellStart"/>
            <w:r>
              <w:t>Fittipaldi</w:t>
            </w:r>
            <w:proofErr w:type="spellEnd"/>
            <w:r>
              <w:t xml:space="preserve">, Priyanka </w:t>
            </w:r>
            <w:proofErr w:type="spellStart"/>
            <w:r>
              <w:t>Kachroo</w:t>
            </w:r>
            <w:proofErr w:type="spellEnd"/>
            <w:r>
              <w:t xml:space="preserve">, </w:t>
            </w:r>
            <w:proofErr w:type="spellStart"/>
            <w:r>
              <w:t>Misu</w:t>
            </w:r>
            <w:proofErr w:type="spellEnd"/>
            <w:r>
              <w:t xml:space="preserve"> </w:t>
            </w:r>
            <w:proofErr w:type="spellStart"/>
            <w:r>
              <w:t>Sanson</w:t>
            </w:r>
            <w:proofErr w:type="spellEnd"/>
            <w:r>
              <w:t xml:space="preserve">, Wesley Long, </w:t>
            </w:r>
            <w:proofErr w:type="spellStart"/>
            <w:r>
              <w:t>Kathyn</w:t>
            </w:r>
            <w:proofErr w:type="spellEnd"/>
            <w:r>
              <w:t xml:space="preserve"> Como-</w:t>
            </w:r>
            <w:proofErr w:type="spellStart"/>
            <w:r>
              <w:t>Sabetti</w:t>
            </w:r>
            <w:proofErr w:type="spellEnd"/>
            <w:r>
              <w:t xml:space="preserve">, </w:t>
            </w:r>
            <w:proofErr w:type="spellStart"/>
            <w:r>
              <w:t>Chandni</w:t>
            </w:r>
            <w:proofErr w:type="spellEnd"/>
            <w:r>
              <w:t xml:space="preserve"> </w:t>
            </w:r>
            <w:proofErr w:type="spellStart"/>
            <w:r>
              <w:t>Valson</w:t>
            </w:r>
            <w:proofErr w:type="spellEnd"/>
            <w:r>
              <w:t xml:space="preserve">, Concepcion Cantu, Ruth </w:t>
            </w:r>
            <w:proofErr w:type="spellStart"/>
            <w:r>
              <w:t>Lynfield</w:t>
            </w:r>
            <w:proofErr w:type="spellEnd"/>
            <w:r>
              <w:t xml:space="preserve">, Chris Van </w:t>
            </w:r>
            <w:proofErr w:type="spellStart"/>
            <w:r>
              <w:t>Beneden</w:t>
            </w:r>
            <w:proofErr w:type="spellEnd"/>
            <w:r>
              <w:t xml:space="preserve">, Stephen </w:t>
            </w:r>
            <w:proofErr w:type="spellStart"/>
            <w:r>
              <w:t>Beres</w:t>
            </w:r>
            <w:proofErr w:type="spellEnd"/>
            <w:r>
              <w:t>, James Musser</w:t>
            </w:r>
          </w:p>
        </w:tc>
        <w:tc>
          <w:tcPr>
            <w:tcW w:w="1529" w:type="dxa"/>
          </w:tcPr>
          <w:p w:rsidR="004A367D" w:rsidRDefault="00C12AF3">
            <w:r>
              <w:t>Is a large hospital-based clinical laboratory prepared to rapidly investigate potential infectious disease outbreaks?</w:t>
            </w:r>
            <w:sdt>
              <w:sdtPr>
                <w:id w:val="2075769642"/>
                <w:citation/>
              </w:sdtPr>
              <w:sdtContent>
                <w:r w:rsidR="0073690B">
                  <w:fldChar w:fldCharType="begin"/>
                </w:r>
                <w:r w:rsidR="0073690B">
                  <w:instrText xml:space="preserve"> CITATION Ran14 \l 1033 </w:instrText>
                </w:r>
                <w:r w:rsidR="0073690B">
                  <w:fldChar w:fldCharType="separate"/>
                </w:r>
                <w:r w:rsidR="0073690B">
                  <w:rPr>
                    <w:noProof/>
                  </w:rPr>
                  <w:t xml:space="preserve"> (Olsen, et al., 2014)</w:t>
                </w:r>
                <w:r w:rsidR="0073690B">
                  <w:fldChar w:fldCharType="end"/>
                </w:r>
              </w:sdtContent>
            </w:sdt>
          </w:p>
        </w:tc>
        <w:tc>
          <w:tcPr>
            <w:tcW w:w="1440" w:type="dxa"/>
          </w:tcPr>
          <w:p w:rsidR="004A367D" w:rsidRDefault="001E3B13">
            <w:r>
              <w:t>Case-Control Study</w:t>
            </w:r>
          </w:p>
        </w:tc>
        <w:tc>
          <w:tcPr>
            <w:tcW w:w="1800" w:type="dxa"/>
          </w:tcPr>
          <w:p w:rsidR="004A367D" w:rsidRDefault="001E3B13">
            <w:r>
              <w:t>Level B</w:t>
            </w:r>
            <w:r w:rsidR="00C12AF3">
              <w:t>-</w:t>
            </w:r>
            <w:r>
              <w:t xml:space="preserve"> Whole genome sequencing and phylogenetic analysis of serotype emm59 strains recovered in the United States</w:t>
            </w:r>
            <w:r w:rsidR="0073690B">
              <w:t xml:space="preserve"> </w:t>
            </w:r>
            <w:sdt>
              <w:sdtPr>
                <w:id w:val="1626189083"/>
                <w:citation/>
              </w:sdtPr>
              <w:sdtContent>
                <w:r w:rsidR="0073690B">
                  <w:fldChar w:fldCharType="begin"/>
                </w:r>
                <w:r w:rsidR="0073690B">
                  <w:instrText xml:space="preserve"> CITATION Ran14 \l 1033 </w:instrText>
                </w:r>
                <w:r w:rsidR="0073690B">
                  <w:fldChar w:fldCharType="separate"/>
                </w:r>
                <w:r w:rsidR="0073690B">
                  <w:rPr>
                    <w:noProof/>
                  </w:rPr>
                  <w:t>(Olsen, et al., 2014)</w:t>
                </w:r>
                <w:r w:rsidR="0073690B">
                  <w:fldChar w:fldCharType="end"/>
                </w:r>
              </w:sdtContent>
            </w:sdt>
            <w:r>
              <w:t>.</w:t>
            </w:r>
          </w:p>
        </w:tc>
        <w:tc>
          <w:tcPr>
            <w:tcW w:w="2250" w:type="dxa"/>
          </w:tcPr>
          <w:p w:rsidR="004A367D" w:rsidRDefault="001E3B13">
            <w:r>
              <w:t>84 invasive serotype emm59 group A streptococcus strains collected in the United States were studied. A rapid response mock exercise for an outbreak was tested</w:t>
            </w:r>
            <w:r w:rsidR="0073690B">
              <w:t xml:space="preserve"> </w:t>
            </w:r>
            <w:sdt>
              <w:sdtPr>
                <w:id w:val="-1097395795"/>
                <w:citation/>
              </w:sdtPr>
              <w:sdtContent>
                <w:r w:rsidR="0073690B">
                  <w:fldChar w:fldCharType="begin"/>
                </w:r>
                <w:r w:rsidR="0073690B">
                  <w:instrText xml:space="preserve"> CITATION Ran14 \l 1033 </w:instrText>
                </w:r>
                <w:r w:rsidR="0073690B">
                  <w:fldChar w:fldCharType="separate"/>
                </w:r>
                <w:r w:rsidR="0073690B">
                  <w:rPr>
                    <w:noProof/>
                  </w:rPr>
                  <w:t>(Olsen, et al., 2014)</w:t>
                </w:r>
                <w:r w:rsidR="0073690B">
                  <w:fldChar w:fldCharType="end"/>
                </w:r>
              </w:sdtContent>
            </w:sdt>
            <w:r>
              <w:t xml:space="preserve">. </w:t>
            </w:r>
          </w:p>
        </w:tc>
        <w:tc>
          <w:tcPr>
            <w:tcW w:w="1980" w:type="dxa"/>
          </w:tcPr>
          <w:p w:rsidR="004A367D" w:rsidRDefault="001E3B13">
            <w:r>
              <w:t xml:space="preserve">To assess the ability of a </w:t>
            </w:r>
            <w:r>
              <w:t xml:space="preserve">specific large hospital </w:t>
            </w:r>
            <w:r>
              <w:t>laboratory</w:t>
            </w:r>
            <w:r>
              <w:t xml:space="preserve"> to use whole-genome sequencing in a mock outbreak</w:t>
            </w:r>
            <w:r w:rsidR="0073690B">
              <w:t xml:space="preserve"> </w:t>
            </w:r>
            <w:sdt>
              <w:sdtPr>
                <w:id w:val="-225836616"/>
                <w:citation/>
              </w:sdtPr>
              <w:sdtContent>
                <w:r w:rsidR="0073690B">
                  <w:fldChar w:fldCharType="begin"/>
                </w:r>
                <w:r w:rsidR="0073690B">
                  <w:instrText xml:space="preserve"> CITATION Ran14 \l 1033 </w:instrText>
                </w:r>
                <w:r w:rsidR="0073690B">
                  <w:fldChar w:fldCharType="separate"/>
                </w:r>
                <w:r w:rsidR="0073690B">
                  <w:rPr>
                    <w:noProof/>
                  </w:rPr>
                  <w:t>(Olsen, et al., 2014)</w:t>
                </w:r>
                <w:r w:rsidR="0073690B">
                  <w:fldChar w:fldCharType="end"/>
                </w:r>
              </w:sdtContent>
            </w:sdt>
            <w:r>
              <w:t>.</w:t>
            </w:r>
          </w:p>
        </w:tc>
        <w:tc>
          <w:tcPr>
            <w:tcW w:w="2160" w:type="dxa"/>
          </w:tcPr>
          <w:p w:rsidR="004A367D" w:rsidRDefault="00C12AF3">
            <w:r>
              <w:t>The clinical laboratory in question was able to perform whole-genome sequencing and virulence analyses in a mock outbreak scenario</w:t>
            </w:r>
            <w:r w:rsidR="0073690B">
              <w:t xml:space="preserve"> </w:t>
            </w:r>
            <w:sdt>
              <w:sdtPr>
                <w:id w:val="953519105"/>
                <w:citation/>
              </w:sdtPr>
              <w:sdtContent>
                <w:r w:rsidR="0073690B">
                  <w:fldChar w:fldCharType="begin"/>
                </w:r>
                <w:r w:rsidR="0073690B">
                  <w:instrText xml:space="preserve"> CITATION Ran14 \l 1033 </w:instrText>
                </w:r>
                <w:r w:rsidR="0073690B">
                  <w:fldChar w:fldCharType="separate"/>
                </w:r>
                <w:r w:rsidR="0073690B">
                  <w:rPr>
                    <w:noProof/>
                  </w:rPr>
                  <w:t>(Olsen, et al., 2014)</w:t>
                </w:r>
                <w:r w:rsidR="0073690B">
                  <w:fldChar w:fldCharType="end"/>
                </w:r>
              </w:sdtContent>
            </w:sdt>
            <w:r>
              <w:t xml:space="preserve">.  </w:t>
            </w:r>
          </w:p>
        </w:tc>
      </w:tr>
    </w:tbl>
    <w:p w:rsidR="005D39DD" w:rsidRDefault="005D39DD"/>
    <w:p w:rsidR="00BD4408" w:rsidRDefault="00BD4408">
      <w:pPr>
        <w:rPr>
          <w:rFonts w:ascii="Times New Roman" w:hAnsi="Times New Roman" w:cs="Times New Roman"/>
          <w:sz w:val="24"/>
          <w:szCs w:val="24"/>
        </w:rPr>
      </w:pPr>
      <w:r>
        <w:rPr>
          <w:rFonts w:ascii="Times New Roman" w:hAnsi="Times New Roman" w:cs="Times New Roman"/>
          <w:sz w:val="24"/>
          <w:szCs w:val="24"/>
        </w:rPr>
        <w:br w:type="page"/>
      </w:r>
    </w:p>
    <w:p w:rsidR="003E1FD4" w:rsidRPr="005055F9" w:rsidRDefault="005055F9" w:rsidP="005055F9">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FB718A" w:rsidRPr="006A43C5" w:rsidRDefault="00FB718A" w:rsidP="00FB718A">
      <w:pPr>
        <w:pStyle w:val="Bibliography"/>
        <w:ind w:left="720" w:hanging="720"/>
        <w:rPr>
          <w:rFonts w:ascii="Times New Roman" w:hAnsi="Times New Roman" w:cs="Times New Roman"/>
          <w:noProof/>
          <w:sz w:val="24"/>
          <w:szCs w:val="24"/>
        </w:rPr>
      </w:pPr>
      <w:r w:rsidRPr="006A43C5">
        <w:rPr>
          <w:rFonts w:ascii="Times New Roman" w:hAnsi="Times New Roman" w:cs="Times New Roman"/>
          <w:b/>
          <w:sz w:val="24"/>
          <w:szCs w:val="24"/>
          <w:u w:val="single"/>
        </w:rPr>
        <w:fldChar w:fldCharType="begin"/>
      </w:r>
      <w:r w:rsidRPr="006A43C5">
        <w:rPr>
          <w:rFonts w:ascii="Times New Roman" w:hAnsi="Times New Roman" w:cs="Times New Roman"/>
          <w:b/>
          <w:sz w:val="24"/>
          <w:szCs w:val="24"/>
          <w:u w:val="single"/>
        </w:rPr>
        <w:instrText xml:space="preserve"> BIBLIOGRAPHY  \l 1033 </w:instrText>
      </w:r>
      <w:r w:rsidRPr="006A43C5">
        <w:rPr>
          <w:rFonts w:ascii="Times New Roman" w:hAnsi="Times New Roman" w:cs="Times New Roman"/>
          <w:b/>
          <w:sz w:val="24"/>
          <w:szCs w:val="24"/>
          <w:u w:val="single"/>
        </w:rPr>
        <w:fldChar w:fldCharType="separate"/>
      </w:r>
      <w:r w:rsidRPr="006A43C5">
        <w:rPr>
          <w:rFonts w:ascii="Times New Roman" w:hAnsi="Times New Roman" w:cs="Times New Roman"/>
          <w:noProof/>
          <w:sz w:val="24"/>
          <w:szCs w:val="24"/>
        </w:rPr>
        <w:t xml:space="preserve">Bennett, B., &amp; Carney, T. (2010). Law, ethics and pandemic preparedness: the importnace of cross-jurisdictional and cross-cultural perspectives. </w:t>
      </w:r>
      <w:r w:rsidRPr="006A43C5">
        <w:rPr>
          <w:rFonts w:ascii="Times New Roman" w:hAnsi="Times New Roman" w:cs="Times New Roman"/>
          <w:i/>
          <w:iCs/>
          <w:noProof/>
          <w:sz w:val="24"/>
          <w:szCs w:val="24"/>
        </w:rPr>
        <w:t>Australian and New Zealand Journal of Public Health</w:t>
      </w:r>
      <w:r w:rsidR="006A43C5">
        <w:rPr>
          <w:rFonts w:ascii="Times New Roman" w:hAnsi="Times New Roman" w:cs="Times New Roman"/>
          <w:noProof/>
          <w:sz w:val="24"/>
          <w:szCs w:val="24"/>
        </w:rPr>
        <w:t xml:space="preserve">, </w:t>
      </w:r>
      <w:r w:rsidR="006A43C5" w:rsidRPr="006A43C5">
        <w:rPr>
          <w:rFonts w:ascii="Times New Roman" w:hAnsi="Times New Roman" w:cs="Times New Roman"/>
          <w:i/>
          <w:noProof/>
          <w:sz w:val="24"/>
          <w:szCs w:val="24"/>
        </w:rPr>
        <w:t>34</w:t>
      </w:r>
      <w:r w:rsidR="006A43C5">
        <w:rPr>
          <w:rFonts w:ascii="Times New Roman" w:hAnsi="Times New Roman" w:cs="Times New Roman"/>
          <w:noProof/>
          <w:sz w:val="24"/>
          <w:szCs w:val="24"/>
        </w:rPr>
        <w:t>,</w:t>
      </w:r>
      <w:r w:rsidRPr="006A43C5">
        <w:rPr>
          <w:rFonts w:ascii="Times New Roman" w:hAnsi="Times New Roman" w:cs="Times New Roman"/>
          <w:noProof/>
          <w:sz w:val="24"/>
          <w:szCs w:val="24"/>
        </w:rPr>
        <w:t xml:space="preserve"> 106-112</w:t>
      </w:r>
      <w:r w:rsidR="006A43C5">
        <w:rPr>
          <w:rFonts w:ascii="Times New Roman" w:hAnsi="Times New Roman" w:cs="Times New Roman"/>
          <w:noProof/>
          <w:sz w:val="24"/>
          <w:szCs w:val="24"/>
        </w:rPr>
        <w:t>.</w:t>
      </w:r>
      <w:r w:rsidRPr="006A43C5">
        <w:rPr>
          <w:rFonts w:ascii="Times New Roman" w:hAnsi="Times New Roman" w:cs="Times New Roman"/>
          <w:noProof/>
          <w:sz w:val="24"/>
          <w:szCs w:val="24"/>
        </w:rPr>
        <w:t xml:space="preserve"> doi: 10.1111/j.1753-6405.2010.00492.x.</w:t>
      </w:r>
    </w:p>
    <w:p w:rsidR="00FB718A" w:rsidRPr="006A43C5" w:rsidRDefault="00FB718A" w:rsidP="00FB718A">
      <w:pPr>
        <w:pStyle w:val="Bibliography"/>
        <w:ind w:left="720" w:hanging="720"/>
        <w:rPr>
          <w:rFonts w:ascii="Times New Roman" w:hAnsi="Times New Roman" w:cs="Times New Roman"/>
          <w:noProof/>
          <w:sz w:val="24"/>
          <w:szCs w:val="24"/>
        </w:rPr>
      </w:pPr>
      <w:r w:rsidRPr="006A43C5">
        <w:rPr>
          <w:rFonts w:ascii="Times New Roman" w:hAnsi="Times New Roman" w:cs="Times New Roman"/>
          <w:noProof/>
          <w:sz w:val="24"/>
          <w:szCs w:val="24"/>
        </w:rPr>
        <w:t xml:space="preserve">Golabek-Goldman, M. (2016). Adequacy of US hospital security preparedness for mass casualty incidents: critical lessons from the israeli experience. </w:t>
      </w:r>
      <w:r w:rsidRPr="006A43C5">
        <w:rPr>
          <w:rFonts w:ascii="Times New Roman" w:hAnsi="Times New Roman" w:cs="Times New Roman"/>
          <w:i/>
          <w:iCs/>
          <w:noProof/>
          <w:sz w:val="24"/>
          <w:szCs w:val="24"/>
        </w:rPr>
        <w:t>J</w:t>
      </w:r>
      <w:r w:rsidR="006A43C5">
        <w:rPr>
          <w:rFonts w:ascii="Times New Roman" w:hAnsi="Times New Roman" w:cs="Times New Roman"/>
          <w:i/>
          <w:iCs/>
          <w:noProof/>
          <w:sz w:val="24"/>
          <w:szCs w:val="24"/>
        </w:rPr>
        <w:t>ournal of</w:t>
      </w:r>
      <w:r w:rsidRPr="006A43C5">
        <w:rPr>
          <w:rFonts w:ascii="Times New Roman" w:hAnsi="Times New Roman" w:cs="Times New Roman"/>
          <w:i/>
          <w:iCs/>
          <w:noProof/>
          <w:sz w:val="24"/>
          <w:szCs w:val="24"/>
        </w:rPr>
        <w:t xml:space="preserve"> Public Health Management</w:t>
      </w:r>
      <w:r w:rsidR="006A43C5">
        <w:rPr>
          <w:rFonts w:ascii="Times New Roman" w:hAnsi="Times New Roman" w:cs="Times New Roman"/>
          <w:i/>
          <w:iCs/>
          <w:noProof/>
          <w:sz w:val="24"/>
          <w:szCs w:val="24"/>
        </w:rPr>
        <w:t xml:space="preserve"> and</w:t>
      </w:r>
      <w:r w:rsidRPr="006A43C5">
        <w:rPr>
          <w:rFonts w:ascii="Times New Roman" w:hAnsi="Times New Roman" w:cs="Times New Roman"/>
          <w:i/>
          <w:iCs/>
          <w:noProof/>
          <w:sz w:val="24"/>
          <w:szCs w:val="24"/>
        </w:rPr>
        <w:t xml:space="preserve"> Practice</w:t>
      </w:r>
      <w:r w:rsidR="006A43C5">
        <w:rPr>
          <w:rFonts w:ascii="Times New Roman" w:hAnsi="Times New Roman" w:cs="Times New Roman"/>
          <w:noProof/>
          <w:sz w:val="24"/>
          <w:szCs w:val="24"/>
        </w:rPr>
        <w:t xml:space="preserve">, </w:t>
      </w:r>
      <w:r w:rsidR="006A43C5" w:rsidRPr="006A43C5">
        <w:rPr>
          <w:rFonts w:ascii="Times New Roman" w:hAnsi="Times New Roman" w:cs="Times New Roman"/>
          <w:i/>
          <w:noProof/>
          <w:sz w:val="24"/>
          <w:szCs w:val="24"/>
        </w:rPr>
        <w:t>22</w:t>
      </w:r>
      <w:r w:rsidR="006A43C5">
        <w:rPr>
          <w:rFonts w:ascii="Times New Roman" w:hAnsi="Times New Roman" w:cs="Times New Roman"/>
          <w:noProof/>
          <w:sz w:val="24"/>
          <w:szCs w:val="24"/>
        </w:rPr>
        <w:t>,</w:t>
      </w:r>
      <w:r w:rsidRPr="006A43C5">
        <w:rPr>
          <w:rFonts w:ascii="Times New Roman" w:hAnsi="Times New Roman" w:cs="Times New Roman"/>
          <w:noProof/>
          <w:sz w:val="24"/>
          <w:szCs w:val="24"/>
        </w:rPr>
        <w:t xml:space="preserve"> 68-80</w:t>
      </w:r>
      <w:r w:rsidR="006A43C5">
        <w:rPr>
          <w:rFonts w:ascii="Times New Roman" w:hAnsi="Times New Roman" w:cs="Times New Roman"/>
          <w:noProof/>
          <w:sz w:val="24"/>
          <w:szCs w:val="24"/>
        </w:rPr>
        <w:t>.</w:t>
      </w:r>
      <w:r w:rsidRPr="006A43C5">
        <w:rPr>
          <w:rFonts w:ascii="Times New Roman" w:hAnsi="Times New Roman" w:cs="Times New Roman"/>
          <w:noProof/>
          <w:sz w:val="24"/>
          <w:szCs w:val="24"/>
        </w:rPr>
        <w:t xml:space="preserve"> doi: 10.1097/PHH.0000000000000298.</w:t>
      </w:r>
    </w:p>
    <w:p w:rsidR="00FB718A" w:rsidRPr="006A43C5" w:rsidRDefault="00FB718A" w:rsidP="00FB718A">
      <w:pPr>
        <w:pStyle w:val="Bibliography"/>
        <w:ind w:left="720" w:hanging="720"/>
        <w:rPr>
          <w:rFonts w:ascii="Times New Roman" w:hAnsi="Times New Roman" w:cs="Times New Roman"/>
          <w:noProof/>
          <w:sz w:val="24"/>
          <w:szCs w:val="24"/>
        </w:rPr>
      </w:pPr>
      <w:r w:rsidRPr="006A43C5">
        <w:rPr>
          <w:rFonts w:ascii="Times New Roman" w:hAnsi="Times New Roman" w:cs="Times New Roman"/>
          <w:noProof/>
          <w:sz w:val="24"/>
          <w:szCs w:val="24"/>
        </w:rPr>
        <w:t xml:space="preserve">Lor, A., Thomas, J., Barrett, D., Ortmann, L., &amp; Guibert, D. H. (2016). Key ethical issues discussed at CDC-sponsored international, regional meetings to explore cultural perspectives and contexts on pandemic influenza preparedness and response. </w:t>
      </w:r>
      <w:r w:rsidRPr="006A43C5">
        <w:rPr>
          <w:rFonts w:ascii="Times New Roman" w:hAnsi="Times New Roman" w:cs="Times New Roman"/>
          <w:i/>
          <w:iCs/>
          <w:noProof/>
          <w:sz w:val="24"/>
          <w:szCs w:val="24"/>
        </w:rPr>
        <w:t>International Journal of Health Policy and Management</w:t>
      </w:r>
      <w:r w:rsidR="006A43C5">
        <w:rPr>
          <w:rFonts w:ascii="Times New Roman" w:hAnsi="Times New Roman" w:cs="Times New Roman"/>
          <w:noProof/>
          <w:sz w:val="24"/>
          <w:szCs w:val="24"/>
        </w:rPr>
        <w:t xml:space="preserve">, </w:t>
      </w:r>
      <w:r w:rsidR="006A43C5" w:rsidRPr="006A43C5">
        <w:rPr>
          <w:rFonts w:ascii="Times New Roman" w:hAnsi="Times New Roman" w:cs="Times New Roman"/>
          <w:i/>
          <w:noProof/>
          <w:sz w:val="24"/>
          <w:szCs w:val="24"/>
        </w:rPr>
        <w:t>5,</w:t>
      </w:r>
      <w:r w:rsidRPr="006A43C5">
        <w:rPr>
          <w:rFonts w:ascii="Times New Roman" w:hAnsi="Times New Roman" w:cs="Times New Roman"/>
          <w:noProof/>
          <w:sz w:val="24"/>
          <w:szCs w:val="24"/>
        </w:rPr>
        <w:t xml:space="preserve"> 653-662</w:t>
      </w:r>
      <w:r w:rsidR="006A43C5">
        <w:rPr>
          <w:rFonts w:ascii="Times New Roman" w:hAnsi="Times New Roman" w:cs="Times New Roman"/>
          <w:noProof/>
          <w:sz w:val="24"/>
          <w:szCs w:val="24"/>
        </w:rPr>
        <w:t>.</w:t>
      </w:r>
      <w:r w:rsidRPr="006A43C5">
        <w:rPr>
          <w:rFonts w:ascii="Times New Roman" w:hAnsi="Times New Roman" w:cs="Times New Roman"/>
          <w:noProof/>
          <w:sz w:val="24"/>
          <w:szCs w:val="24"/>
        </w:rPr>
        <w:t xml:space="preserve"> doi: 10.15171/jihpm.2016.55.</w:t>
      </w:r>
    </w:p>
    <w:p w:rsidR="00FB718A" w:rsidRPr="006A43C5" w:rsidRDefault="00FB718A" w:rsidP="00FB718A">
      <w:pPr>
        <w:pStyle w:val="Bibliography"/>
        <w:ind w:left="720" w:hanging="720"/>
        <w:rPr>
          <w:rFonts w:ascii="Times New Roman" w:hAnsi="Times New Roman" w:cs="Times New Roman"/>
          <w:noProof/>
          <w:sz w:val="24"/>
          <w:szCs w:val="24"/>
        </w:rPr>
      </w:pPr>
      <w:r w:rsidRPr="006A43C5">
        <w:rPr>
          <w:rFonts w:ascii="Times New Roman" w:hAnsi="Times New Roman" w:cs="Times New Roman"/>
          <w:noProof/>
          <w:sz w:val="24"/>
          <w:szCs w:val="24"/>
        </w:rPr>
        <w:t xml:space="preserve">Olsen, R., Fittipaldi, N., Kachroo, P., Sanson, M., Long, W., Como-Sabetti, K., . . . Musser, J. (2014). Clinical laboratory response to a mock outbreak of invasive bacterial infections: a preparedness study. </w:t>
      </w:r>
      <w:r w:rsidRPr="006A43C5">
        <w:rPr>
          <w:rFonts w:ascii="Times New Roman" w:hAnsi="Times New Roman" w:cs="Times New Roman"/>
          <w:i/>
          <w:iCs/>
          <w:noProof/>
          <w:sz w:val="24"/>
          <w:szCs w:val="24"/>
        </w:rPr>
        <w:t>Journal of Clinical Microbiology</w:t>
      </w:r>
      <w:r w:rsidR="006A43C5">
        <w:rPr>
          <w:rFonts w:ascii="Times New Roman" w:hAnsi="Times New Roman" w:cs="Times New Roman"/>
          <w:noProof/>
          <w:sz w:val="24"/>
          <w:szCs w:val="24"/>
        </w:rPr>
        <w:t xml:space="preserve">, </w:t>
      </w:r>
      <w:r w:rsidR="006A43C5" w:rsidRPr="006A43C5">
        <w:rPr>
          <w:rFonts w:ascii="Times New Roman" w:hAnsi="Times New Roman" w:cs="Times New Roman"/>
          <w:i/>
          <w:noProof/>
          <w:sz w:val="24"/>
          <w:szCs w:val="24"/>
        </w:rPr>
        <w:t>52</w:t>
      </w:r>
      <w:r w:rsidR="006A43C5">
        <w:rPr>
          <w:rFonts w:ascii="Times New Roman" w:hAnsi="Times New Roman" w:cs="Times New Roman"/>
          <w:noProof/>
          <w:sz w:val="24"/>
          <w:szCs w:val="24"/>
        </w:rPr>
        <w:t>,</w:t>
      </w:r>
      <w:r w:rsidRPr="006A43C5">
        <w:rPr>
          <w:rFonts w:ascii="Times New Roman" w:hAnsi="Times New Roman" w:cs="Times New Roman"/>
          <w:noProof/>
          <w:sz w:val="24"/>
          <w:szCs w:val="24"/>
        </w:rPr>
        <w:t xml:space="preserve"> 4210-4216</w:t>
      </w:r>
      <w:r w:rsidR="006A43C5">
        <w:rPr>
          <w:rFonts w:ascii="Times New Roman" w:hAnsi="Times New Roman" w:cs="Times New Roman"/>
          <w:noProof/>
          <w:sz w:val="24"/>
          <w:szCs w:val="24"/>
        </w:rPr>
        <w:t>.</w:t>
      </w:r>
      <w:r w:rsidRPr="006A43C5">
        <w:rPr>
          <w:rFonts w:ascii="Times New Roman" w:hAnsi="Times New Roman" w:cs="Times New Roman"/>
          <w:noProof/>
          <w:sz w:val="24"/>
          <w:szCs w:val="24"/>
        </w:rPr>
        <w:t xml:space="preserve"> doi: 10.1128/JCM.02164-14.</w:t>
      </w:r>
    </w:p>
    <w:p w:rsidR="003E1FD4" w:rsidRDefault="00FB718A" w:rsidP="00FB718A">
      <w:pPr>
        <w:rPr>
          <w:b/>
          <w:u w:val="single"/>
        </w:rPr>
      </w:pPr>
      <w:r w:rsidRPr="006A43C5">
        <w:rPr>
          <w:rFonts w:ascii="Times New Roman" w:hAnsi="Times New Roman" w:cs="Times New Roman"/>
          <w:b/>
          <w:sz w:val="24"/>
          <w:szCs w:val="24"/>
          <w:u w:val="single"/>
        </w:rPr>
        <w:fldChar w:fldCharType="end"/>
      </w:r>
    </w:p>
    <w:p w:rsidR="003E1FD4" w:rsidRDefault="003E1FD4" w:rsidP="003E1FD4">
      <w:pPr>
        <w:pStyle w:val="Default"/>
      </w:pPr>
    </w:p>
    <w:p w:rsidR="003E1FD4" w:rsidRDefault="003E1FD4" w:rsidP="003E1FD4">
      <w:pPr>
        <w:pStyle w:val="Default"/>
      </w:pPr>
      <w:r>
        <w:t xml:space="preserve"> </w:t>
      </w:r>
    </w:p>
    <w:p w:rsidR="003E1FD4" w:rsidRDefault="003E1FD4" w:rsidP="003E1FD4"/>
    <w:sectPr w:rsidR="003E1FD4" w:rsidSect="004A367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7D"/>
    <w:rsid w:val="00136FDF"/>
    <w:rsid w:val="00161B24"/>
    <w:rsid w:val="001E3B13"/>
    <w:rsid w:val="0021204D"/>
    <w:rsid w:val="00280F0D"/>
    <w:rsid w:val="003B392A"/>
    <w:rsid w:val="003E1FD4"/>
    <w:rsid w:val="004A367D"/>
    <w:rsid w:val="005055F9"/>
    <w:rsid w:val="005D39DD"/>
    <w:rsid w:val="006A43C5"/>
    <w:rsid w:val="0073690B"/>
    <w:rsid w:val="00790B90"/>
    <w:rsid w:val="0084659D"/>
    <w:rsid w:val="00883FAE"/>
    <w:rsid w:val="00BD4408"/>
    <w:rsid w:val="00C12AF3"/>
    <w:rsid w:val="00C24267"/>
    <w:rsid w:val="00D1142D"/>
    <w:rsid w:val="00D3406A"/>
    <w:rsid w:val="00D67803"/>
    <w:rsid w:val="00E363B1"/>
    <w:rsid w:val="00EC6555"/>
    <w:rsid w:val="00F02BF7"/>
    <w:rsid w:val="00FB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9E792-35B4-476C-BDFD-F7E0B13D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1FD4"/>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FB7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855">
      <w:bodyDiv w:val="1"/>
      <w:marLeft w:val="0"/>
      <w:marRight w:val="0"/>
      <w:marTop w:val="0"/>
      <w:marBottom w:val="0"/>
      <w:divBdr>
        <w:top w:val="none" w:sz="0" w:space="0" w:color="auto"/>
        <w:left w:val="none" w:sz="0" w:space="0" w:color="auto"/>
        <w:bottom w:val="none" w:sz="0" w:space="0" w:color="auto"/>
        <w:right w:val="none" w:sz="0" w:space="0" w:color="auto"/>
      </w:divBdr>
    </w:div>
    <w:div w:id="20251615">
      <w:bodyDiv w:val="1"/>
      <w:marLeft w:val="0"/>
      <w:marRight w:val="0"/>
      <w:marTop w:val="0"/>
      <w:marBottom w:val="0"/>
      <w:divBdr>
        <w:top w:val="none" w:sz="0" w:space="0" w:color="auto"/>
        <w:left w:val="none" w:sz="0" w:space="0" w:color="auto"/>
        <w:bottom w:val="none" w:sz="0" w:space="0" w:color="auto"/>
        <w:right w:val="none" w:sz="0" w:space="0" w:color="auto"/>
      </w:divBdr>
    </w:div>
    <w:div w:id="227154811">
      <w:bodyDiv w:val="1"/>
      <w:marLeft w:val="0"/>
      <w:marRight w:val="0"/>
      <w:marTop w:val="0"/>
      <w:marBottom w:val="0"/>
      <w:divBdr>
        <w:top w:val="none" w:sz="0" w:space="0" w:color="auto"/>
        <w:left w:val="none" w:sz="0" w:space="0" w:color="auto"/>
        <w:bottom w:val="none" w:sz="0" w:space="0" w:color="auto"/>
        <w:right w:val="none" w:sz="0" w:space="0" w:color="auto"/>
      </w:divBdr>
    </w:div>
    <w:div w:id="287325801">
      <w:bodyDiv w:val="1"/>
      <w:marLeft w:val="0"/>
      <w:marRight w:val="0"/>
      <w:marTop w:val="0"/>
      <w:marBottom w:val="0"/>
      <w:divBdr>
        <w:top w:val="none" w:sz="0" w:space="0" w:color="auto"/>
        <w:left w:val="none" w:sz="0" w:space="0" w:color="auto"/>
        <w:bottom w:val="none" w:sz="0" w:space="0" w:color="auto"/>
        <w:right w:val="none" w:sz="0" w:space="0" w:color="auto"/>
      </w:divBdr>
    </w:div>
    <w:div w:id="364985425">
      <w:bodyDiv w:val="1"/>
      <w:marLeft w:val="0"/>
      <w:marRight w:val="0"/>
      <w:marTop w:val="0"/>
      <w:marBottom w:val="0"/>
      <w:divBdr>
        <w:top w:val="none" w:sz="0" w:space="0" w:color="auto"/>
        <w:left w:val="none" w:sz="0" w:space="0" w:color="auto"/>
        <w:bottom w:val="none" w:sz="0" w:space="0" w:color="auto"/>
        <w:right w:val="none" w:sz="0" w:space="0" w:color="auto"/>
      </w:divBdr>
    </w:div>
    <w:div w:id="427971077">
      <w:bodyDiv w:val="1"/>
      <w:marLeft w:val="0"/>
      <w:marRight w:val="0"/>
      <w:marTop w:val="0"/>
      <w:marBottom w:val="0"/>
      <w:divBdr>
        <w:top w:val="none" w:sz="0" w:space="0" w:color="auto"/>
        <w:left w:val="none" w:sz="0" w:space="0" w:color="auto"/>
        <w:bottom w:val="none" w:sz="0" w:space="0" w:color="auto"/>
        <w:right w:val="none" w:sz="0" w:space="0" w:color="auto"/>
      </w:divBdr>
    </w:div>
    <w:div w:id="443310739">
      <w:bodyDiv w:val="1"/>
      <w:marLeft w:val="0"/>
      <w:marRight w:val="0"/>
      <w:marTop w:val="0"/>
      <w:marBottom w:val="0"/>
      <w:divBdr>
        <w:top w:val="none" w:sz="0" w:space="0" w:color="auto"/>
        <w:left w:val="none" w:sz="0" w:space="0" w:color="auto"/>
        <w:bottom w:val="none" w:sz="0" w:space="0" w:color="auto"/>
        <w:right w:val="none" w:sz="0" w:space="0" w:color="auto"/>
      </w:divBdr>
    </w:div>
    <w:div w:id="693965881">
      <w:bodyDiv w:val="1"/>
      <w:marLeft w:val="0"/>
      <w:marRight w:val="0"/>
      <w:marTop w:val="0"/>
      <w:marBottom w:val="0"/>
      <w:divBdr>
        <w:top w:val="none" w:sz="0" w:space="0" w:color="auto"/>
        <w:left w:val="none" w:sz="0" w:space="0" w:color="auto"/>
        <w:bottom w:val="none" w:sz="0" w:space="0" w:color="auto"/>
        <w:right w:val="none" w:sz="0" w:space="0" w:color="auto"/>
      </w:divBdr>
    </w:div>
    <w:div w:id="711463284">
      <w:bodyDiv w:val="1"/>
      <w:marLeft w:val="0"/>
      <w:marRight w:val="0"/>
      <w:marTop w:val="0"/>
      <w:marBottom w:val="0"/>
      <w:divBdr>
        <w:top w:val="none" w:sz="0" w:space="0" w:color="auto"/>
        <w:left w:val="none" w:sz="0" w:space="0" w:color="auto"/>
        <w:bottom w:val="none" w:sz="0" w:space="0" w:color="auto"/>
        <w:right w:val="none" w:sz="0" w:space="0" w:color="auto"/>
      </w:divBdr>
    </w:div>
    <w:div w:id="736514503">
      <w:bodyDiv w:val="1"/>
      <w:marLeft w:val="0"/>
      <w:marRight w:val="0"/>
      <w:marTop w:val="0"/>
      <w:marBottom w:val="0"/>
      <w:divBdr>
        <w:top w:val="none" w:sz="0" w:space="0" w:color="auto"/>
        <w:left w:val="none" w:sz="0" w:space="0" w:color="auto"/>
        <w:bottom w:val="none" w:sz="0" w:space="0" w:color="auto"/>
        <w:right w:val="none" w:sz="0" w:space="0" w:color="auto"/>
      </w:divBdr>
    </w:div>
    <w:div w:id="763064625">
      <w:bodyDiv w:val="1"/>
      <w:marLeft w:val="0"/>
      <w:marRight w:val="0"/>
      <w:marTop w:val="0"/>
      <w:marBottom w:val="0"/>
      <w:divBdr>
        <w:top w:val="none" w:sz="0" w:space="0" w:color="auto"/>
        <w:left w:val="none" w:sz="0" w:space="0" w:color="auto"/>
        <w:bottom w:val="none" w:sz="0" w:space="0" w:color="auto"/>
        <w:right w:val="none" w:sz="0" w:space="0" w:color="auto"/>
      </w:divBdr>
    </w:div>
    <w:div w:id="862129846">
      <w:bodyDiv w:val="1"/>
      <w:marLeft w:val="0"/>
      <w:marRight w:val="0"/>
      <w:marTop w:val="0"/>
      <w:marBottom w:val="0"/>
      <w:divBdr>
        <w:top w:val="none" w:sz="0" w:space="0" w:color="auto"/>
        <w:left w:val="none" w:sz="0" w:space="0" w:color="auto"/>
        <w:bottom w:val="none" w:sz="0" w:space="0" w:color="auto"/>
        <w:right w:val="none" w:sz="0" w:space="0" w:color="auto"/>
      </w:divBdr>
    </w:div>
    <w:div w:id="915435884">
      <w:bodyDiv w:val="1"/>
      <w:marLeft w:val="0"/>
      <w:marRight w:val="0"/>
      <w:marTop w:val="0"/>
      <w:marBottom w:val="0"/>
      <w:divBdr>
        <w:top w:val="none" w:sz="0" w:space="0" w:color="auto"/>
        <w:left w:val="none" w:sz="0" w:space="0" w:color="auto"/>
        <w:bottom w:val="none" w:sz="0" w:space="0" w:color="auto"/>
        <w:right w:val="none" w:sz="0" w:space="0" w:color="auto"/>
      </w:divBdr>
    </w:div>
    <w:div w:id="963005601">
      <w:bodyDiv w:val="1"/>
      <w:marLeft w:val="0"/>
      <w:marRight w:val="0"/>
      <w:marTop w:val="0"/>
      <w:marBottom w:val="0"/>
      <w:divBdr>
        <w:top w:val="none" w:sz="0" w:space="0" w:color="auto"/>
        <w:left w:val="none" w:sz="0" w:space="0" w:color="auto"/>
        <w:bottom w:val="none" w:sz="0" w:space="0" w:color="auto"/>
        <w:right w:val="none" w:sz="0" w:space="0" w:color="auto"/>
      </w:divBdr>
    </w:div>
    <w:div w:id="1026180992">
      <w:bodyDiv w:val="1"/>
      <w:marLeft w:val="0"/>
      <w:marRight w:val="0"/>
      <w:marTop w:val="0"/>
      <w:marBottom w:val="0"/>
      <w:divBdr>
        <w:top w:val="none" w:sz="0" w:space="0" w:color="auto"/>
        <w:left w:val="none" w:sz="0" w:space="0" w:color="auto"/>
        <w:bottom w:val="none" w:sz="0" w:space="0" w:color="auto"/>
        <w:right w:val="none" w:sz="0" w:space="0" w:color="auto"/>
      </w:divBdr>
    </w:div>
    <w:div w:id="1078215120">
      <w:bodyDiv w:val="1"/>
      <w:marLeft w:val="0"/>
      <w:marRight w:val="0"/>
      <w:marTop w:val="0"/>
      <w:marBottom w:val="0"/>
      <w:divBdr>
        <w:top w:val="none" w:sz="0" w:space="0" w:color="auto"/>
        <w:left w:val="none" w:sz="0" w:space="0" w:color="auto"/>
        <w:bottom w:val="none" w:sz="0" w:space="0" w:color="auto"/>
        <w:right w:val="none" w:sz="0" w:space="0" w:color="auto"/>
      </w:divBdr>
    </w:div>
    <w:div w:id="1165585427">
      <w:bodyDiv w:val="1"/>
      <w:marLeft w:val="0"/>
      <w:marRight w:val="0"/>
      <w:marTop w:val="0"/>
      <w:marBottom w:val="0"/>
      <w:divBdr>
        <w:top w:val="none" w:sz="0" w:space="0" w:color="auto"/>
        <w:left w:val="none" w:sz="0" w:space="0" w:color="auto"/>
        <w:bottom w:val="none" w:sz="0" w:space="0" w:color="auto"/>
        <w:right w:val="none" w:sz="0" w:space="0" w:color="auto"/>
      </w:divBdr>
    </w:div>
    <w:div w:id="1237783802">
      <w:bodyDiv w:val="1"/>
      <w:marLeft w:val="0"/>
      <w:marRight w:val="0"/>
      <w:marTop w:val="0"/>
      <w:marBottom w:val="0"/>
      <w:divBdr>
        <w:top w:val="none" w:sz="0" w:space="0" w:color="auto"/>
        <w:left w:val="none" w:sz="0" w:space="0" w:color="auto"/>
        <w:bottom w:val="none" w:sz="0" w:space="0" w:color="auto"/>
        <w:right w:val="none" w:sz="0" w:space="0" w:color="auto"/>
      </w:divBdr>
    </w:div>
    <w:div w:id="1301417839">
      <w:bodyDiv w:val="1"/>
      <w:marLeft w:val="0"/>
      <w:marRight w:val="0"/>
      <w:marTop w:val="0"/>
      <w:marBottom w:val="0"/>
      <w:divBdr>
        <w:top w:val="none" w:sz="0" w:space="0" w:color="auto"/>
        <w:left w:val="none" w:sz="0" w:space="0" w:color="auto"/>
        <w:bottom w:val="none" w:sz="0" w:space="0" w:color="auto"/>
        <w:right w:val="none" w:sz="0" w:space="0" w:color="auto"/>
      </w:divBdr>
    </w:div>
    <w:div w:id="1705057162">
      <w:bodyDiv w:val="1"/>
      <w:marLeft w:val="0"/>
      <w:marRight w:val="0"/>
      <w:marTop w:val="0"/>
      <w:marBottom w:val="0"/>
      <w:divBdr>
        <w:top w:val="none" w:sz="0" w:space="0" w:color="auto"/>
        <w:left w:val="none" w:sz="0" w:space="0" w:color="auto"/>
        <w:bottom w:val="none" w:sz="0" w:space="0" w:color="auto"/>
        <w:right w:val="none" w:sz="0" w:space="0" w:color="auto"/>
      </w:divBdr>
    </w:div>
    <w:div w:id="209809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MIc16</b:Tag>
    <b:SourceType>JournalArticle</b:SourceType>
    <b:Guid>{7F07FCA4-0817-4B91-9E46-F41DACB8F2C6}</b:Guid>
    <b:Title>Adequacy of US hospital security preparedness for mass casualty incidents: critical lessons from the israeli experience</b:Title>
    <b:Year>2016</b:Year>
    <b:Author>
      <b:Author>
        <b:NameList>
          <b:Person>
            <b:Last>Golabek-Goldman</b:Last>
            <b:First>MIchele</b:First>
          </b:Person>
        </b:NameList>
      </b:Author>
    </b:Author>
    <b:JournalName>J Public Health Management Practice</b:JournalName>
    <b:Pages>22(1) 68-80 doi: 10.1097/PHH.0000000000000298</b:Pages>
    <b:RefOrder>1</b:RefOrder>
  </b:Source>
  <b:Source>
    <b:Tag>Bel10</b:Tag>
    <b:SourceType>JournalArticle</b:SourceType>
    <b:Guid>{6A90E378-4423-4509-8A9F-24A5902B2C89}</b:Guid>
    <b:Author>
      <b:Author>
        <b:NameList>
          <b:Person>
            <b:Last>Bennett</b:Last>
            <b:First>Belinda</b:First>
          </b:Person>
          <b:Person>
            <b:Last>Carney</b:Last>
            <b:First>Terry</b:First>
          </b:Person>
        </b:NameList>
      </b:Author>
    </b:Author>
    <b:Title>Law, ethics and pandemic preparedness: the importnace of cross-jurisdictional and cross-cultural perspectives</b:Title>
    <b:JournalName>Australian and New Zealand Journal of Public Health</b:JournalName>
    <b:Year>2010</b:Year>
    <b:Pages>34(2) 106-112 doi: 10.1111/j.1753-6405.2010.00492.x</b:Pages>
    <b:RefOrder>3</b:RefOrder>
  </b:Source>
  <b:Source>
    <b:Tag>Aun16</b:Tag>
    <b:SourceType>JournalArticle</b:SourceType>
    <b:Guid>{3D240237-CF75-4926-95C6-804B197C4365}</b:Guid>
    <b:Author>
      <b:Author>
        <b:NameList>
          <b:Person>
            <b:Last>Lor</b:Last>
            <b:First>Aun</b:First>
          </b:Person>
          <b:Person>
            <b:Last>Thomas</b:Last>
            <b:First>James</b:First>
          </b:Person>
          <b:Person>
            <b:Last>Barrett</b:Last>
            <b:First>Drue</b:First>
          </b:Person>
          <b:Person>
            <b:Last>Ortmann</b:Last>
            <b:First>Leonard</b:First>
          </b:Person>
          <b:Person>
            <b:Last>Guibert</b:Last>
            <b:First>Dionisio</b:First>
            <b:Middle>Herrera</b:Middle>
          </b:Person>
        </b:NameList>
      </b:Author>
    </b:Author>
    <b:Title>Key ethical issues discussed at CDC-sponsored international, regional meetings to explore cultural perspectives and contexts on pandemic influenza preparedness and response</b:Title>
    <b:JournalName>International Journal of Health Policy and Management</b:JournalName>
    <b:Year>2016</b:Year>
    <b:Pages>5(11) 653-662 doi: 10.15171/jihpm.2016.55</b:Pages>
    <b:RefOrder>2</b:RefOrder>
  </b:Source>
  <b:Source>
    <b:Tag>Ran14</b:Tag>
    <b:SourceType>JournalArticle</b:SourceType>
    <b:Guid>{C1B8FA41-0EF2-4BBF-A936-73A580EFC898}</b:Guid>
    <b:Author>
      <b:Author>
        <b:NameList>
          <b:Person>
            <b:Last>Olsen</b:Last>
            <b:First>Randall</b:First>
          </b:Person>
          <b:Person>
            <b:Last>Fittipaldi</b:Last>
            <b:First>Nahuel</b:First>
          </b:Person>
          <b:Person>
            <b:Last>Kachroo</b:Last>
            <b:First>Priyanka</b:First>
          </b:Person>
          <b:Person>
            <b:Last>Sanson</b:Last>
            <b:First>Misu</b:First>
          </b:Person>
          <b:Person>
            <b:Last>Long</b:Last>
            <b:First>Wesley</b:First>
          </b:Person>
          <b:Person>
            <b:Last>Como-Sabetti</b:Last>
            <b:First>Kathryn</b:First>
          </b:Person>
          <b:Person>
            <b:Last>Valson</b:Last>
            <b:First>Chandni</b:First>
          </b:Person>
          <b:Person>
            <b:Last>Cantu</b:Last>
            <b:First>Concepcion</b:First>
          </b:Person>
          <b:Person>
            <b:Last>Lynfield</b:Last>
            <b:First>Ruth</b:First>
          </b:Person>
          <b:Person>
            <b:Last>Beneden</b:Last>
            <b:First>Chris</b:First>
            <b:Middle>Van</b:Middle>
          </b:Person>
          <b:Person>
            <b:Last>Bere</b:Last>
            <b:First>Stephen</b:First>
          </b:Person>
          <b:Person>
            <b:Last>Musser</b:Last>
            <b:First>James</b:First>
          </b:Person>
        </b:NameList>
      </b:Author>
    </b:Author>
    <b:Title>Clinical laboratory response to a mock outbreak of invasive bacterial infections: a preparedness study</b:Title>
    <b:JournalName>Journal of Clinical Microbiology</b:JournalName>
    <b:Year>2014</b:Year>
    <b:Pages>52(12) 4210-4216 doi: 10.1128/JCM.02164-14</b:Pages>
    <b:RefOrder>4</b:RefOrder>
  </b:Source>
</b:Sources>
</file>

<file path=customXml/itemProps1.xml><?xml version="1.0" encoding="utf-8"?>
<ds:datastoreItem xmlns:ds="http://schemas.openxmlformats.org/officeDocument/2006/customXml" ds:itemID="{EB50E553-48FC-4263-BCC5-36F7CED8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Bruesch, Kristie L</dc:creator>
  <cp:keywords/>
  <dc:description/>
  <cp:lastModifiedBy>Kristie Bruesch</cp:lastModifiedBy>
  <cp:revision>8</cp:revision>
  <dcterms:created xsi:type="dcterms:W3CDTF">2017-06-19T15:48:00Z</dcterms:created>
  <dcterms:modified xsi:type="dcterms:W3CDTF">2017-06-19T18:39:00Z</dcterms:modified>
</cp:coreProperties>
</file>